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E1A4B"/>
          <w:sz w:val="40"/>
          <w:szCs w:val="40"/>
        </w:rPr>
        <w:t xml:space="preserve">Adding DXF Support</w:t>
      </w:r>
    </w:p>
    <w:p>
      <w:pPr>
        <w:spacing w:after="360"/>
        <w:jc w:val="center"/>
      </w:pPr>
      <w:r>
        <w:rPr>
          <w:rFonts w:ascii="Arial" w:cs="Arial" w:eastAsia="Arial" w:hAnsi="Arial"/>
          <w:i/>
          <w:iCs/>
          <w:color w:val="7A7A7A"/>
          <w:sz w:val="24"/>
          <w:szCs w:val="24"/>
        </w:rPr>
        <w:t xml:space="preserve">Strategy for importing AutoCAD DXF files into LUPMIS2</w:t>
      </w:r>
    </w:p>
    <w:p>
      <w:pPr>
        <w:spacing w:after="480"/>
        <w:jc w:val="center"/>
      </w:pPr>
      <w:r>
        <w:rPr>
          <w:color w:val="7A7A7A"/>
          <w:sz w:val="20"/>
          <w:szCs w:val="20"/>
        </w:rPr>
        <w:t xml:space="preserve">Prepared for LUSPA</w:t>
      </w:r>
    </w:p>
    <w:p>
      <w:pPr>
        <w:pStyle w:val="Heading1"/>
      </w:pPr>
      <w:r>
        <w:t xml:space="preserve">Executive Summary</w:t>
      </w:r>
    </w:p>
    <w:p>
      <w:pPr>
        <w:spacing w:after="120"/>
      </w:pPr>
      <w:r>
        <w:t xml:space="preserve">Adding DXF (AutoCAD Drawing Exchange Format) import to LUPMIS2 is feasible but more involved than the existing GeoJSON / KML / Shapefile importers. The core difficulty is that DXF has no built-in georeferencing — the file contains geometry in arbitrary drawing units with no embedded coordinate system. To turn it into something the map can display, the user has to supply (or the app has to infer) the source projection.</w:t>
      </w:r>
    </w:p>
    <w:p>
      <w:pPr>
        <w:spacing w:after="120"/>
      </w:pPr>
      <w:r>
        <w:t xml:space="preserve">This document outlines a phased plan with concrete effort estimates and a recommendation for which phases to deliver first based on real-world cadastral workflows in Ghana.</w:t>
      </w:r>
    </w:p>
    <w:p>
      <w:pPr>
        <w:pStyle w:val="Heading1"/>
      </w:pPr>
      <w:r>
        <w:t xml:space="preserve">1. Why DXF is harder than other supported formats</w:t>
      </w:r>
    </w:p>
    <w:p>
      <w:pPr>
        <w:spacing w:after="120"/>
      </w:pPr>
      <w:r>
        <w:t xml:space="preserve">LUPMIS2 already supports three vector import formats. They all carry their own coordinate information, in different ways: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4060"/>
        <w:gridCol w:w="4000"/>
      </w:tblGrid>
      <w:tr>
        <w:trPr>
          <w:tblHeader/>
        </w:trPr>
        <w:tc>
          <w:tcPr>
            <w:tcW w:type="dxa" w:w="1300"/>
            <w:tcBorders>
              <w:top w:val="single" w:color="CCCCCC" w:sz="6"/>
              <w:left w:val="single" w:color="CCCCCC" w:sz="6"/>
              <w:bottom w:val="single" w:color="CCCCCC" w:sz="6"/>
              <w:right w:val="single" w:color="CCCCCC" w:sz="6"/>
            </w:tcBorders>
            <w:shd w:fill="D5E8F0" w:val="clear"/>
            <w:tcMar>
              <w:top w:type="dxa" w:w="80"/>
              <w:left w:type="dxa" w:w="120"/>
              <w:bottom w:type="dxa" w:w="80"/>
              <w:right w:type="dxa" w:w="120"/>
            </w:tcMar>
          </w:tcPr>
          <w:p>
            <w:r>
              <w:rPr>
                <w:b/>
                <w:bCs/>
              </w:rPr>
              <w:t xml:space="preserve">Format</w:t>
            </w:r>
          </w:p>
        </w:tc>
        <w:tc>
          <w:tcPr>
            <w:tcW w:type="dxa" w:w="4060"/>
            <w:tcBorders>
              <w:top w:val="single" w:color="CCCCCC" w:sz="6"/>
              <w:left w:val="single" w:color="CCCCCC" w:sz="6"/>
              <w:bottom w:val="single" w:color="CCCCCC" w:sz="6"/>
              <w:right w:val="single" w:color="CCCCCC" w:sz="6"/>
            </w:tcBorders>
            <w:shd w:fill="D5E8F0" w:val="clear"/>
            <w:tcMar>
              <w:top w:type="dxa" w:w="80"/>
              <w:left w:type="dxa" w:w="120"/>
              <w:bottom w:type="dxa" w:w="80"/>
              <w:right w:type="dxa" w:w="120"/>
            </w:tcMar>
          </w:tcPr>
          <w:p>
            <w:r>
              <w:rPr>
                <w:b/>
                <w:bCs/>
              </w:rPr>
              <w:t xml:space="preserve">Coordinates</w:t>
            </w:r>
          </w:p>
        </w:tc>
        <w:tc>
          <w:tcPr>
            <w:tcW w:type="dxa" w:w="4000"/>
            <w:tcBorders>
              <w:top w:val="single" w:color="CCCCCC" w:sz="6"/>
              <w:left w:val="single" w:color="CCCCCC" w:sz="6"/>
              <w:bottom w:val="single" w:color="CCCCCC" w:sz="6"/>
              <w:right w:val="single" w:color="CCCCCC" w:sz="6"/>
            </w:tcBorders>
            <w:shd w:fill="D5E8F0" w:val="clear"/>
            <w:tcMar>
              <w:top w:type="dxa" w:w="80"/>
              <w:left w:type="dxa" w:w="120"/>
              <w:bottom w:type="dxa" w:w="80"/>
              <w:right w:type="dxa" w:w="120"/>
            </w:tcMar>
          </w:tcPr>
          <w:p>
            <w:r>
              <w:rPr>
                <w:b/>
                <w:bCs/>
              </w:rPr>
              <w:t xml:space="preserve">Projection</w:t>
            </w:r>
          </w:p>
        </w:tc>
      </w:tr>
      <w:tr>
        <w:tc>
          <w:tcPr>
            <w:tcW w:type="dxa" w:w="13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GeoJSON</w:t>
            </w:r>
          </w:p>
        </w:tc>
        <w:tc>
          <w:tcPr>
            <w:tcW w:type="dxa" w:w="40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lon / lat</w:t>
            </w:r>
          </w:p>
        </w:tc>
        <w:tc>
          <w:tcPr>
            <w:tcW w:type="dxa" w:w="4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always WGS 84 (spec mandates)</w:t>
            </w:r>
          </w:p>
        </w:tc>
      </w:tr>
      <w:tr>
        <w:tc>
          <w:tcPr>
            <w:tcW w:type="dxa" w:w="13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KML</w:t>
            </w:r>
          </w:p>
        </w:tc>
        <w:tc>
          <w:tcPr>
            <w:tcW w:type="dxa" w:w="40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lon / lat</w:t>
            </w:r>
          </w:p>
        </w:tc>
        <w:tc>
          <w:tcPr>
            <w:tcW w:type="dxa" w:w="4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always WGS 84 (spec mandates)</w:t>
            </w:r>
          </w:p>
        </w:tc>
      </w:tr>
      <w:tr>
        <w:tc>
          <w:tcPr>
            <w:tcW w:type="dxa" w:w="13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SHP</w:t>
            </w:r>
          </w:p>
        </w:tc>
        <w:tc>
          <w:tcPr>
            <w:tcW w:type="dxa" w:w="40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varies</w:t>
            </w:r>
          </w:p>
        </w:tc>
        <w:tc>
          <w:tcPr>
            <w:tcW w:type="dxa" w:w="4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comes in .prj sidecar</w:t>
            </w:r>
          </w:p>
        </w:tc>
      </w:tr>
      <w:tr>
        <w:tc>
          <w:tcPr>
            <w:tcW w:type="dxa" w:w="1300"/>
            <w:tcBorders>
              <w:top w:val="single" w:color="CCCCCC" w:sz="6"/>
              <w:left w:val="single" w:color="CCCCCC" w:sz="6"/>
              <w:bottom w:val="single" w:color="CCCCCC" w:sz="6"/>
              <w:right w:val="single" w:color="CCCCCC" w:sz="6"/>
            </w:tcBorders>
            <w:shd w:fill="FEF3C7" w:val="clear"/>
            <w:tcMar>
              <w:top w:type="dxa" w:w="80"/>
              <w:left w:type="dxa" w:w="120"/>
              <w:bottom w:type="dxa" w:w="80"/>
              <w:right w:type="dxa" w:w="120"/>
            </w:tcMar>
          </w:tcPr>
          <w:p>
            <w:r>
              <w:rPr>
                <w:b/>
                <w:bCs/>
              </w:rPr>
              <w:t xml:space="preserve">DXF</w:t>
            </w:r>
          </w:p>
        </w:tc>
        <w:tc>
          <w:tcPr>
            <w:tcW w:type="dxa" w:w="4060"/>
            <w:tcBorders>
              <w:top w:val="single" w:color="CCCCCC" w:sz="6"/>
              <w:left w:val="single" w:color="CCCCCC" w:sz="6"/>
              <w:bottom w:val="single" w:color="CCCCCC" w:sz="6"/>
              <w:right w:val="single" w:color="CCCCCC" w:sz="6"/>
            </w:tcBorders>
            <w:shd w:fill="FEF3C7" w:val="clear"/>
            <w:tcMar>
              <w:top w:type="dxa" w:w="80"/>
              <w:left w:type="dxa" w:w="120"/>
              <w:bottom w:type="dxa" w:w="80"/>
              <w:right w:type="dxa" w:w="120"/>
            </w:tcMar>
          </w:tcPr>
          <w:p>
            <w:r>
              <w:rPr>
                <w:b/>
                <w:bCs/>
              </w:rPr>
              <w:t xml:space="preserve">arbitrary "drawing units"</w:t>
            </w:r>
          </w:p>
        </w:tc>
        <w:tc>
          <w:tcPr>
            <w:tcW w:type="dxa" w:w="4000"/>
            <w:tcBorders>
              <w:top w:val="single" w:color="CCCCCC" w:sz="6"/>
              <w:left w:val="single" w:color="CCCCCC" w:sz="6"/>
              <w:bottom w:val="single" w:color="CCCCCC" w:sz="6"/>
              <w:right w:val="single" w:color="CCCCCC" w:sz="6"/>
            </w:tcBorders>
            <w:shd w:fill="FEF3C7" w:val="clear"/>
            <w:tcMar>
              <w:top w:type="dxa" w:w="80"/>
              <w:left w:type="dxa" w:w="120"/>
              <w:bottom w:type="dxa" w:w="80"/>
              <w:right w:type="dxa" w:w="120"/>
            </w:tcMar>
          </w:tcPr>
          <w:p>
            <w:r>
              <w:rPr>
                <w:b/>
                <w:bCs/>
              </w:rPr>
              <w:t xml:space="preserve">none — must be supplied externally</w:t>
            </w:r>
          </w:p>
        </w:tc>
      </w:tr>
    </w:tbl>
    <w:p>
      <w:pPr>
        <w:spacing w:after="120"/>
      </w:pPr>
      <w:r>
        <w:t xml:space="preserve"/>
      </w:r>
    </w:p>
    <w:p>
      <w:pPr>
        <w:spacing w:after="120"/>
      </w:pPr>
      <w:r>
        <w:t xml:space="preserve">A DXF file from AutoCAD contains a list of geometric entities whose X / Y / Z coordinates are relative to whatever origin the surveyor or draftsperson used. For LUPMIS2's cadastral use case in Ghana, the source CRS is usually one of:</w:t>
      </w:r>
    </w:p>
    <w:p>
      <w:pPr>
        <w:pStyle w:val="ListParagraph"/>
        <w:numPr>
          <w:ilvl w:val="0"/>
          <w:numId w:val="2"/>
        </w:numPr>
        <w:spacing w:after="80"/>
      </w:pPr>
      <w:r>
        <w:t xml:space="preserve">Ghana National Grid (EPSG:25000)</w:t>
      </w:r>
    </w:p>
    <w:p>
      <w:pPr>
        <w:pStyle w:val="ListParagraph"/>
        <w:numPr>
          <w:ilvl w:val="0"/>
          <w:numId w:val="2"/>
        </w:numPr>
        <w:spacing w:after="80"/>
      </w:pPr>
      <w:r>
        <w:t xml:space="preserve">UTM Zone 30 N (EPSG:32630) — covers most of Ghana</w:t>
      </w:r>
    </w:p>
    <w:p>
      <w:pPr>
        <w:pStyle w:val="ListParagraph"/>
        <w:numPr>
          <w:ilvl w:val="0"/>
          <w:numId w:val="2"/>
        </w:numPr>
        <w:spacing w:after="80"/>
      </w:pPr>
      <w:r>
        <w:t xml:space="preserve">WGS 84 (EPSG:4326) — rare, mostly when the surveyor exported from a GPS-aware CAD setup</w:t>
      </w:r>
    </w:p>
    <w:p>
      <w:pPr>
        <w:pStyle w:val="ListParagraph"/>
        <w:numPr>
          <w:ilvl w:val="0"/>
          <w:numId w:val="2"/>
        </w:numPr>
        <w:spacing w:after="80"/>
      </w:pPr>
      <w:r>
        <w:t xml:space="preserve">A purely local origin (e.g. "site corner = 0,0") — requires a control-point transform</w:t>
      </w:r>
    </w:p>
    <w:p>
      <w:pPr>
        <w:spacing w:after="120"/>
      </w:pPr>
      <w:r>
        <w:t xml:space="preserve">So importing a DXF always involves a step the other formats don't need: the user must tell the app the source CRS, or the app must derive a transform from known control points.</w:t>
      </w:r>
    </w:p>
    <w:p>
      <w:pPr>
        <w:pStyle w:val="Heading1"/>
      </w:pPr>
      <w:r>
        <w:t xml:space="preserve">2. Implementation approach</w:t>
      </w:r>
    </w:p>
    <w:p>
      <w:pPr>
        <w:spacing w:after="120"/>
      </w:pPr>
      <w:r>
        <w:t xml:space="preserve">A mature JavaScript parser exists — dxf-parser on npm (~50 k weekly downloads, MIT license, pure JS, no native dependencies). Combined with proj4 (already a transitive dependency of OpenLayers) the full import pipeline is straightforward:</w:t>
      </w:r>
    </w:p>
    <w:p>
      <w:pPr>
        <w:pStyle w:val="ListParagraph"/>
        <w:numPr>
          <w:ilvl w:val="0"/>
          <w:numId w:val="2"/>
        </w:numPr>
        <w:spacing w:after="80"/>
      </w:pPr>
      <w:r>
        <w:rPr>
          <w:b/>
          <w:bCs/>
          <w:i w:val="false"/>
          <w:iCs w:val="false"/>
        </w:rPr>
        <w:t xml:space="preserve">1. </w:t>
      </w:r>
      <w:r>
        <w:rPr>
          <w:b w:val="false"/>
          <w:bCs w:val="false"/>
          <w:i w:val="false"/>
          <w:iCs w:val="false"/>
        </w:rPr>
        <w:t xml:space="preserve">User selects a .dxf file via the existing file-import UI.</w:t>
      </w:r>
    </w:p>
    <w:p>
      <w:pPr>
        <w:pStyle w:val="ListParagraph"/>
        <w:numPr>
          <w:ilvl w:val="0"/>
          <w:numId w:val="2"/>
        </w:numPr>
        <w:spacing w:after="80"/>
      </w:pPr>
      <w:r>
        <w:rPr>
          <w:b/>
          <w:bCs/>
          <w:i w:val="false"/>
          <w:iCs w:val="false"/>
        </w:rPr>
        <w:t xml:space="preserve">2. </w:t>
      </w:r>
      <w:r>
        <w:rPr>
          <w:b w:val="false"/>
          <w:bCs w:val="false"/>
          <w:i w:val="false"/>
          <w:iCs w:val="false"/>
        </w:rPr>
        <w:t xml:space="preserve">dxf-parser reads the file → typed entity array (LINE, LWPOLYLINE, ARC, CIRCLE, …).</w:t>
      </w:r>
    </w:p>
    <w:p>
      <w:pPr>
        <w:pStyle w:val="ListParagraph"/>
        <w:numPr>
          <w:ilvl w:val="0"/>
          <w:numId w:val="2"/>
        </w:numPr>
        <w:spacing w:after="80"/>
      </w:pPr>
      <w:r>
        <w:rPr>
          <w:b/>
          <w:bCs/>
          <w:i w:val="false"/>
          <w:iCs w:val="false"/>
        </w:rPr>
        <w:t xml:space="preserve">3. </w:t>
      </w:r>
      <w:r>
        <w:rPr>
          <w:b w:val="false"/>
          <w:bCs w:val="false"/>
          <w:i w:val="false"/>
          <w:iCs w:val="false"/>
        </w:rPr>
        <w:t xml:space="preserve">A custom converter maps each entity to a GeoJSON feature in source-CRS coordinates, preserving the DXF layer name as a property.</w:t>
      </w:r>
    </w:p>
    <w:p>
      <w:pPr>
        <w:pStyle w:val="ListParagraph"/>
        <w:numPr>
          <w:ilvl w:val="0"/>
          <w:numId w:val="2"/>
        </w:numPr>
        <w:spacing w:after="80"/>
      </w:pPr>
      <w:r>
        <w:rPr>
          <w:b/>
          <w:bCs/>
          <w:i w:val="false"/>
          <w:iCs w:val="false"/>
        </w:rPr>
        <w:t xml:space="preserve">4. </w:t>
      </w:r>
      <w:r>
        <w:rPr>
          <w:b w:val="false"/>
          <w:bCs w:val="false"/>
          <w:i w:val="false"/>
          <w:iCs w:val="false"/>
        </w:rPr>
        <w:t xml:space="preserve">A CRS-picker dialog asks the user which projection the DXF is in.</w:t>
      </w:r>
    </w:p>
    <w:p>
      <w:pPr>
        <w:pStyle w:val="ListParagraph"/>
        <w:numPr>
          <w:ilvl w:val="0"/>
          <w:numId w:val="2"/>
        </w:numPr>
        <w:spacing w:after="80"/>
      </w:pPr>
      <w:r>
        <w:rPr>
          <w:b/>
          <w:bCs/>
          <w:i w:val="false"/>
          <w:iCs w:val="false"/>
        </w:rPr>
        <w:t xml:space="preserve">5. </w:t>
      </w:r>
      <w:r>
        <w:rPr>
          <w:b w:val="false"/>
          <w:bCs w:val="false"/>
          <w:i w:val="false"/>
          <w:iCs w:val="false"/>
        </w:rPr>
        <w:t xml:space="preserve">proj4 transforms the coordinates from the source CRS to WGS 84.</w:t>
      </w:r>
    </w:p>
    <w:p>
      <w:pPr>
        <w:pStyle w:val="ListParagraph"/>
        <w:numPr>
          <w:ilvl w:val="0"/>
          <w:numId w:val="2"/>
        </w:numPr>
        <w:spacing w:after="80"/>
      </w:pPr>
      <w:r>
        <w:rPr>
          <w:b/>
          <w:bCs/>
          <w:i w:val="false"/>
          <w:iCs w:val="false"/>
        </w:rPr>
        <w:t xml:space="preserve">6. </w:t>
      </w:r>
      <w:r>
        <w:rPr>
          <w:b w:val="false"/>
          <w:bCs w:val="false"/>
          <w:i w:val="false"/>
          <w:iCs w:val="false"/>
        </w:rPr>
        <w:t xml:space="preserve">OpenLayers readFeatures with featureProjection: EPSG:3857 — same path as the existing GeoJSON / KML / Shapefile importers.</w:t>
      </w:r>
    </w:p>
    <w:p>
      <w:pPr>
        <w:pStyle w:val="ListParagraph"/>
        <w:numPr>
          <w:ilvl w:val="0"/>
          <w:numId w:val="2"/>
        </w:numPr>
        <w:spacing w:after="80"/>
      </w:pPr>
      <w:r>
        <w:rPr>
          <w:b/>
          <w:bCs/>
          <w:i w:val="false"/>
          <w:iCs w:val="false"/>
        </w:rPr>
        <w:t xml:space="preserve">7. </w:t>
      </w:r>
      <w:r>
        <w:rPr>
          <w:b w:val="false"/>
          <w:bCs w:val="false"/>
          <w:i w:val="false"/>
          <w:iCs w:val="false"/>
        </w:rPr>
        <w:t xml:space="preserve">The result is added to the map via addGeoJSONLayer, so it inherits the existing chip, opacity slider, zoom-to-extent, and remove button.</w:t>
      </w:r>
    </w:p>
    <w:p>
      <w:pPr>
        <w:pStyle w:val="Heading1"/>
      </w:pPr>
      <w:r>
        <w:t xml:space="preserve">3. Feasibility by entity type</w:t>
      </w:r>
    </w:p>
    <w:p>
      <w:pPr>
        <w:spacing w:after="120"/>
      </w:pPr>
      <w:r>
        <w:t xml:space="preserve">DXF has many entity types. dxf-parser produces structured JSON for each. Their difficulty of conversion to GeoJSON varies: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960"/>
        <w:gridCol w:w="2000"/>
      </w:tblGrid>
      <w:tr>
        <w:trPr>
          <w:tblHeader/>
        </w:trPr>
        <w:tc>
          <w:tcPr>
            <w:tcW w:type="dxa" w:w="2400"/>
            <w:tcBorders>
              <w:top w:val="single" w:color="CCCCCC" w:sz="6"/>
              <w:left w:val="single" w:color="CCCCCC" w:sz="6"/>
              <w:bottom w:val="single" w:color="CCCCCC" w:sz="6"/>
              <w:right w:val="single" w:color="CCCCCC" w:sz="6"/>
            </w:tcBorders>
            <w:shd w:fill="D5E8F0" w:val="clear"/>
            <w:tcMar>
              <w:top w:type="dxa" w:w="80"/>
              <w:left w:type="dxa" w:w="120"/>
              <w:bottom w:type="dxa" w:w="80"/>
              <w:right w:type="dxa" w:w="120"/>
            </w:tcMar>
          </w:tcPr>
          <w:p>
            <w:r>
              <w:rPr>
                <w:b/>
                <w:bCs/>
              </w:rPr>
              <w:t xml:space="preserve">DXF entity</w:t>
            </w:r>
          </w:p>
        </w:tc>
        <w:tc>
          <w:tcPr>
            <w:tcW w:type="dxa" w:w="4960"/>
            <w:tcBorders>
              <w:top w:val="single" w:color="CCCCCC" w:sz="6"/>
              <w:left w:val="single" w:color="CCCCCC" w:sz="6"/>
              <w:bottom w:val="single" w:color="CCCCCC" w:sz="6"/>
              <w:right w:val="single" w:color="CCCCCC" w:sz="6"/>
            </w:tcBorders>
            <w:shd w:fill="D5E8F0" w:val="clear"/>
            <w:tcMar>
              <w:top w:type="dxa" w:w="80"/>
              <w:left w:type="dxa" w:w="120"/>
              <w:bottom w:type="dxa" w:w="80"/>
              <w:right w:type="dxa" w:w="120"/>
            </w:tcMar>
          </w:tcPr>
          <w:p>
            <w:r>
              <w:rPr>
                <w:b/>
                <w:bCs/>
              </w:rPr>
              <w:t xml:space="preserve">GeoJSON output</w:t>
            </w:r>
          </w:p>
        </w:tc>
        <w:tc>
          <w:tcPr>
            <w:tcW w:type="dxa" w:w="2000"/>
            <w:tcBorders>
              <w:top w:val="single" w:color="CCCCCC" w:sz="6"/>
              <w:left w:val="single" w:color="CCCCCC" w:sz="6"/>
              <w:bottom w:val="single" w:color="CCCCCC" w:sz="6"/>
              <w:right w:val="single" w:color="CCCCCC" w:sz="6"/>
            </w:tcBorders>
            <w:shd w:fill="D5E8F0" w:val="clear"/>
            <w:tcMar>
              <w:top w:type="dxa" w:w="80"/>
              <w:left w:type="dxa" w:w="120"/>
              <w:bottom w:type="dxa" w:w="80"/>
              <w:right w:type="dxa" w:w="120"/>
            </w:tcMar>
          </w:tcPr>
          <w:p>
            <w:r>
              <w:rPr>
                <w:b/>
                <w:bCs/>
              </w:rPr>
              <w:t xml:space="preserve">Effort</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POINT</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Point</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trivial</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LINE</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LineString (2 vertices)</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trivial</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LWPOLYLINE, POLYLINE</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LineString or Polygon (if closed)</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easy</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CIRCLE</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Polygon (discretised to N segments)</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easy</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ARC</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LineString (discretised)</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easy</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ELLIPSE</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LineString / Polygon (discretised)</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medium</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SPLINE</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LineString (B-spline evaluation)</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medium</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TEXT, MTEXT</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Point with `label` property</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easy</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INSERT (block ref)</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recurse + apply transform</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hard</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HATCH</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Polygon (boundary only)</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medium</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DIMENSION, LEADER</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usually drop</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n/a</w:t>
            </w:r>
          </w:p>
        </w:tc>
      </w:tr>
      <w:tr>
        <w:tc>
          <w:tcPr>
            <w:tcW w:type="dxa" w:w="2400"/>
            <w:tcBorders>
              <w:top w:val="single" w:color="CCCCCC" w:sz="6"/>
              <w:left w:val="single" w:color="CCCCCC" w:sz="6"/>
              <w:bottom w:val="single" w:color="CCCCCC" w:sz="6"/>
              <w:right w:val="single" w:color="CCCCCC" w:sz="6"/>
            </w:tcBorders>
            <w:tcMar>
              <w:top w:type="dxa" w:w="80"/>
              <w:left w:type="dxa" w:w="120"/>
              <w:bottom w:type="dxa" w:w="80"/>
              <w:right w:type="dxa" w:w="120"/>
            </w:tcMar>
          </w:tcPr>
          <w:p>
            <w:r>
              <w:rPr>
                <w:rFonts w:ascii="Menlo" w:cs="Menlo" w:eastAsia="Menlo" w:hAnsi="Menlo"/>
              </w:rPr>
              <w:t xml:space="preserve">3DFACE, mesh</w:t>
            </w:r>
          </w:p>
        </w:tc>
        <w:tc>
          <w:tcPr>
            <w:tcW w:type="dxa" w:w="49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flatten to 2D</w:t>
            </w:r>
          </w:p>
        </w:tc>
        <w:tc>
          <w:tcPr>
            <w:tcW w:type="dxa" w:w="20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medium</w:t>
            </w:r>
          </w:p>
        </w:tc>
      </w:tr>
    </w:tbl>
    <w:p>
      <w:pPr>
        <w:spacing w:after="120"/>
      </w:pPr>
      <w:r>
        <w:t xml:space="preserve"/>
      </w:r>
    </w:p>
    <w:p>
      <w:pPr>
        <w:spacing w:after="120"/>
      </w:pPr>
      <w:r>
        <w:t xml:space="preserve">The 80/20 sweet spot for cadastral work is LINE, LWPOLYLINE, POLYLINE, CIRCLE, ARC, TEXT, and POINT — about one focused day of conversion code. SPLINE, ELLIPSE, and INSERT (block references) can wait for Phase 2.</w:t>
      </w:r>
    </w:p>
    <w:p>
      <w:pPr>
        <w:pStyle w:val="Heading1"/>
      </w:pPr>
      <w:r>
        <w:t xml:space="preserve">4. Phased plan</w:t>
      </w:r>
    </w:p>
    <w:p>
      <w:pPr>
        <w:pStyle w:val="Heading2"/>
      </w:pPr>
      <w:r>
        <w:t xml:space="preserve">Phase 1 — Minimum viable DXF import (~2 days)</w:t>
      </w:r>
    </w:p>
    <w:p>
      <w:pPr>
        <w:pStyle w:val="ListParagraph"/>
        <w:numPr>
          <w:ilvl w:val="0"/>
          <w:numId w:val="3"/>
        </w:numPr>
        <w:spacing w:after="80"/>
      </w:pPr>
      <w:r>
        <w:t xml:space="preserve">Add dxf-parser as a dynamic import (~80 kB minified, lazy-loaded like shpjs) so it does not bloat the initial bundle.</w:t>
      </w:r>
    </w:p>
    <w:p>
      <w:pPr>
        <w:pStyle w:val="ListParagraph"/>
        <w:numPr>
          <w:ilvl w:val="0"/>
          <w:numId w:val="3"/>
        </w:numPr>
        <w:spacing w:after="80"/>
      </w:pPr>
      <w:r>
        <w:t xml:space="preserve">Add an "Import .dxf" button in the left offcanvas, alongside the existing Import buttons.</w:t>
      </w:r>
    </w:p>
    <w:p>
      <w:pPr>
        <w:pStyle w:val="ListParagraph"/>
        <w:numPr>
          <w:ilvl w:val="0"/>
          <w:numId w:val="3"/>
        </w:numPr>
        <w:spacing w:after="80"/>
      </w:pPr>
      <w:r>
        <w:t xml:space="preserve">CRS picker dialog on file selection — a dropdown of common Ghana CRSes plus an "Other (enter EPSG code)" option:</w:t>
      </w:r>
    </w:p>
    <w:p>
      <w:pPr>
        <w:pStyle w:val="ListParagraph"/>
        <w:numPr>
          <w:ilvl w:val="0"/>
          <w:numId w:val="2"/>
        </w:numPr>
        <w:spacing w:after="80"/>
      </w:pPr>
      <w:r>
        <w:rPr>
          <w:rFonts w:ascii="Arial" w:cs="Arial" w:eastAsia="Arial" w:hAnsi="Arial"/>
        </w:rPr>
        <w:t xml:space="preserve">WGS 84 (EPSG:4326)</w:t>
      </w:r>
    </w:p>
    <w:p>
      <w:pPr>
        <w:pStyle w:val="ListParagraph"/>
        <w:numPr>
          <w:ilvl w:val="0"/>
          <w:numId w:val="2"/>
        </w:numPr>
        <w:spacing w:after="80"/>
      </w:pPr>
      <w:r>
        <w:t xml:space="preserve">UTM Zone 30 N (EPSG:32630)</w:t>
      </w:r>
    </w:p>
    <w:p>
      <w:pPr>
        <w:pStyle w:val="ListParagraph"/>
        <w:numPr>
          <w:ilvl w:val="0"/>
          <w:numId w:val="2"/>
        </w:numPr>
        <w:spacing w:after="80"/>
      </w:pPr>
      <w:r>
        <w:t xml:space="preserve">Ghana National Grid (EPSG:25000)</w:t>
      </w:r>
    </w:p>
    <w:p>
      <w:pPr>
        <w:pStyle w:val="ListParagraph"/>
        <w:numPr>
          <w:ilvl w:val="0"/>
          <w:numId w:val="2"/>
        </w:numPr>
        <w:spacing w:after="80"/>
      </w:pPr>
      <w:r>
        <w:t xml:space="preserve">Custom EPSG…</w:t>
      </w:r>
    </w:p>
    <w:p>
      <w:pPr>
        <w:pStyle w:val="ListParagraph"/>
        <w:numPr>
          <w:ilvl w:val="0"/>
          <w:numId w:val="3"/>
        </w:numPr>
        <w:spacing w:after="80"/>
      </w:pPr>
      <w:r>
        <w:t xml:space="preserve">Entity converter for LINE, LWPOLYLINE / POLYLINE, CIRCLE (discretised), ARC (discretised), TEXT (as labelled Points), and POINT.</w:t>
      </w:r>
    </w:p>
    <w:p>
      <w:pPr>
        <w:pStyle w:val="ListParagraph"/>
        <w:numPr>
          <w:ilvl w:val="0"/>
          <w:numId w:val="3"/>
        </w:numPr>
        <w:spacing w:after="80"/>
      </w:pPr>
      <w:r>
        <w:t xml:space="preserve">Proj4 reprojection to WGS 84, then to the map's EPSG:3857.</w:t>
      </w:r>
    </w:p>
    <w:p>
      <w:pPr>
        <w:pStyle w:val="ListParagraph"/>
        <w:numPr>
          <w:ilvl w:val="0"/>
          <w:numId w:val="3"/>
        </w:numPr>
        <w:spacing w:after="80"/>
      </w:pPr>
      <w:r>
        <w:t xml:space="preserve">One feature per DXF entity — preserve the DXF "layer" property so each carries its source layer name.</w:t>
      </w:r>
    </w:p>
    <w:p>
      <w:pPr>
        <w:pStyle w:val="ListParagraph"/>
        <w:numPr>
          <w:ilvl w:val="0"/>
          <w:numId w:val="3"/>
        </w:numPr>
        <w:spacing w:after="80"/>
      </w:pPr>
      <w:r>
        <w:t xml:space="preserve">Pass through addGeoJSONLayer like the other imports — picks up the existing type-tag chip, removable flag, zoom-to-extent, etc.</w:t>
      </w:r>
    </w:p>
    <w:p>
      <w:pPr>
        <w:pStyle w:val="ListParagraph"/>
        <w:numPr>
          <w:ilvl w:val="0"/>
          <w:numId w:val="3"/>
        </w:numPr>
        <w:spacing w:after="80"/>
      </w:pPr>
      <w:r>
        <w:t xml:space="preserve">Silently skip (with a console log): SPLINE, ELLIPSE, INSERT, HATCH, DIMENSION.</w:t>
      </w:r>
    </w:p>
    <w:p>
      <w:pPr>
        <w:pStyle w:val="Heading2"/>
      </w:pPr>
      <w:r>
        <w:t xml:space="preserve">Phase 2 — Better entity coverage (~1 day)</w:t>
      </w:r>
    </w:p>
    <w:p>
      <w:pPr>
        <w:pStyle w:val="ListParagraph"/>
        <w:numPr>
          <w:ilvl w:val="0"/>
          <w:numId w:val="2"/>
        </w:numPr>
        <w:spacing w:after="80"/>
      </w:pPr>
      <w:r>
        <w:t xml:space="preserve">SPLINE — cubic B-spline evaluation produces a polyline approximation.</w:t>
      </w:r>
    </w:p>
    <w:p>
      <w:pPr>
        <w:pStyle w:val="ListParagraph"/>
        <w:numPr>
          <w:ilvl w:val="0"/>
          <w:numId w:val="2"/>
        </w:numPr>
        <w:spacing w:after="80"/>
      </w:pPr>
      <w:r>
        <w:t xml:space="preserve">ELLIPSE — parametric evaluation produces a polyline.</w:t>
      </w:r>
    </w:p>
    <w:p>
      <w:pPr>
        <w:pStyle w:val="ListParagraph"/>
        <w:numPr>
          <w:ilvl w:val="0"/>
          <w:numId w:val="2"/>
        </w:numPr>
        <w:spacing w:after="80"/>
      </w:pPr>
      <w:r>
        <w:t xml:space="preserve">INSERT — flatten block references by recursing into the block definition and applying the entity's rotation/scale/translation.</w:t>
      </w:r>
    </w:p>
    <w:p>
      <w:pPr>
        <w:pStyle w:val="ListParagraph"/>
        <w:numPr>
          <w:ilvl w:val="0"/>
          <w:numId w:val="2"/>
        </w:numPr>
        <w:spacing w:after="80"/>
      </w:pPr>
      <w:r>
        <w:t xml:space="preserve">A DXF-layer picker tree so the user can choose which CAD layers to import (often a single DXF file has dozens of layers, only a few of which are relevant).</w:t>
      </w:r>
    </w:p>
    <w:p>
      <w:pPr>
        <w:pStyle w:val="Heading2"/>
      </w:pPr>
      <w:r>
        <w:t xml:space="preserve">Phase 3 — Two-point georeferencing (~1 day)</w:t>
      </w:r>
    </w:p>
    <w:p>
      <w:pPr>
        <w:spacing w:after="120"/>
      </w:pPr>
      <w:r>
        <w:t xml:space="preserve">For DXF files with a local origin (no embedded CRS), let the user define the transform interactively:</w:t>
      </w:r>
    </w:p>
    <w:p>
      <w:pPr>
        <w:pStyle w:val="ListParagraph"/>
        <w:numPr>
          <w:ilvl w:val="0"/>
          <w:numId w:val="3"/>
        </w:numPr>
        <w:spacing w:after="80"/>
      </w:pPr>
      <w:r>
        <w:t xml:space="preserve">Click two distinctive points in the DXF preview (e.g. corners of a known building or property).</w:t>
      </w:r>
    </w:p>
    <w:p>
      <w:pPr>
        <w:pStyle w:val="ListParagraph"/>
        <w:numPr>
          <w:ilvl w:val="0"/>
          <w:numId w:val="3"/>
        </w:numPr>
        <w:spacing w:after="80"/>
      </w:pPr>
      <w:r>
        <w:t xml:space="preserve">Click the corresponding two real-world points on the map.</w:t>
      </w:r>
    </w:p>
    <w:p>
      <w:pPr>
        <w:pStyle w:val="ListParagraph"/>
        <w:numPr>
          <w:ilvl w:val="0"/>
          <w:numId w:val="3"/>
        </w:numPr>
        <w:spacing w:after="80"/>
      </w:pPr>
      <w:r>
        <w:t xml:space="preserve">Solve a 2D similarity transform (translate + rotate + uniform scale).</w:t>
      </w:r>
    </w:p>
    <w:p>
      <w:pPr>
        <w:pStyle w:val="ListParagraph"/>
        <w:numPr>
          <w:ilvl w:val="0"/>
          <w:numId w:val="3"/>
        </w:numPr>
        <w:spacing w:after="80"/>
      </w:pPr>
      <w:r>
        <w:t xml:space="preserve">Apply that transform to every imported feature.</w:t>
      </w:r>
    </w:p>
    <w:p>
      <w:pPr>
        <w:spacing w:after="120"/>
      </w:pPr>
      <w:r>
        <w:t xml:space="preserve">This handles the "site survey with arbitrary origin" case — very common for new development sites where the CAD file was prepared before formal land coordinates were assigned.</w:t>
      </w:r>
    </w:p>
    <w:p>
      <w:pPr>
        <w:pStyle w:val="Heading2"/>
      </w:pPr>
      <w:r>
        <w:t xml:space="preserve">Phase 4 — Round-trip export (~2 days)</w:t>
      </w:r>
    </w:p>
    <w:p>
      <w:pPr>
        <w:spacing w:after="120"/>
      </w:pPr>
      <w:r>
        <w:t xml:space="preserve">Export drawn polygons back to DXF format for handing back to engineers or consulting firms. Inverse of the import pipeline. Only worth building if LUSPA needs to send approved plans back to external consultants.</w:t>
      </w:r>
    </w:p>
    <w:p>
      <w:pPr>
        <w:pStyle w:val="Heading1"/>
      </w:pPr>
      <w:r>
        <w:t xml:space="preserve">5. Cost / benefit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00"/>
        <w:gridCol w:w="1700"/>
        <w:gridCol w:w="3760"/>
      </w:tblGrid>
      <w:tr>
        <w:trPr>
          <w:tblHeader/>
        </w:trPr>
        <w:tc>
          <w:tcPr>
            <w:tcW w:type="dxa" w:w="3900"/>
            <w:tcBorders>
              <w:top w:val="single" w:color="CCCCCC" w:sz="6"/>
              <w:left w:val="single" w:color="CCCCCC" w:sz="6"/>
              <w:bottom w:val="single" w:color="CCCCCC" w:sz="6"/>
              <w:right w:val="single" w:color="CCCCCC" w:sz="6"/>
            </w:tcBorders>
            <w:shd w:fill="D5E8F0" w:val="clear"/>
            <w:tcMar>
              <w:top w:type="dxa" w:w="80"/>
              <w:left w:type="dxa" w:w="120"/>
              <w:bottom w:type="dxa" w:w="80"/>
              <w:right w:type="dxa" w:w="120"/>
            </w:tcMar>
          </w:tcPr>
          <w:p>
            <w:r>
              <w:rPr>
                <w:b/>
                <w:bCs/>
              </w:rPr>
              <w:t xml:space="preserve">Phase</w:t>
            </w:r>
          </w:p>
        </w:tc>
        <w:tc>
          <w:tcPr>
            <w:tcW w:type="dxa" w:w="1700"/>
            <w:tcBorders>
              <w:top w:val="single" w:color="CCCCCC" w:sz="6"/>
              <w:left w:val="single" w:color="CCCCCC" w:sz="6"/>
              <w:bottom w:val="single" w:color="CCCCCC" w:sz="6"/>
              <w:right w:val="single" w:color="CCCCCC" w:sz="6"/>
            </w:tcBorders>
            <w:shd w:fill="D5E8F0" w:val="clear"/>
            <w:tcMar>
              <w:top w:type="dxa" w:w="80"/>
              <w:left w:type="dxa" w:w="120"/>
              <w:bottom w:type="dxa" w:w="80"/>
              <w:right w:type="dxa" w:w="120"/>
            </w:tcMar>
          </w:tcPr>
          <w:p>
            <w:r>
              <w:rPr>
                <w:b/>
                <w:bCs/>
              </w:rPr>
              <w:t xml:space="preserve">Effort</w:t>
            </w:r>
          </w:p>
        </w:tc>
        <w:tc>
          <w:tcPr>
            <w:tcW w:type="dxa" w:w="3760"/>
            <w:tcBorders>
              <w:top w:val="single" w:color="CCCCCC" w:sz="6"/>
              <w:left w:val="single" w:color="CCCCCC" w:sz="6"/>
              <w:bottom w:val="single" w:color="CCCCCC" w:sz="6"/>
              <w:right w:val="single" w:color="CCCCCC" w:sz="6"/>
            </w:tcBorders>
            <w:shd w:fill="D5E8F0" w:val="clear"/>
            <w:tcMar>
              <w:top w:type="dxa" w:w="80"/>
              <w:left w:type="dxa" w:w="120"/>
              <w:bottom w:type="dxa" w:w="80"/>
              <w:right w:type="dxa" w:w="120"/>
            </w:tcMar>
          </w:tcPr>
          <w:p>
            <w:r>
              <w:rPr>
                <w:b/>
                <w:bCs/>
              </w:rPr>
              <w:t xml:space="preserve">Value</w:t>
            </w:r>
          </w:p>
        </w:tc>
      </w:tr>
      <w:tr>
        <w:tc>
          <w:tcPr>
            <w:tcW w:type="dxa" w:w="39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Phase 1 — Basic import + CRS picker</w:t>
            </w:r>
          </w:p>
        </w:tc>
        <w:tc>
          <w:tcPr>
            <w:tcW w:type="dxa" w:w="17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~2 days</w:t>
            </w:r>
          </w:p>
        </w:tc>
        <w:tc>
          <w:tcPr>
            <w:tcW w:type="dxa" w:w="37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high — covers the common engineering-firm-delivers-DXF case</w:t>
            </w:r>
          </w:p>
        </w:tc>
      </w:tr>
      <w:tr>
        <w:tc>
          <w:tcPr>
            <w:tcW w:type="dxa" w:w="39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Phase 2 — Better entity coverage</w:t>
            </w:r>
          </w:p>
        </w:tc>
        <w:tc>
          <w:tcPr>
            <w:tcW w:type="dxa" w:w="17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~1 day</w:t>
            </w:r>
          </w:p>
        </w:tc>
        <w:tc>
          <w:tcPr>
            <w:tcW w:type="dxa" w:w="37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medium</w:t>
            </w:r>
          </w:p>
        </w:tc>
      </w:tr>
      <w:tr>
        <w:tc>
          <w:tcPr>
            <w:tcW w:type="dxa" w:w="39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Phase 3 — Two-point georeferencing</w:t>
            </w:r>
          </w:p>
        </w:tc>
        <w:tc>
          <w:tcPr>
            <w:tcW w:type="dxa" w:w="17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~1 day</w:t>
            </w:r>
          </w:p>
        </w:tc>
        <w:tc>
          <w:tcPr>
            <w:tcW w:type="dxa" w:w="37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high — most real-world DXFs lack a CRS</w:t>
            </w:r>
          </w:p>
        </w:tc>
      </w:tr>
      <w:tr>
        <w:tc>
          <w:tcPr>
            <w:tcW w:type="dxa" w:w="39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Phase 4 — Export back to DXF</w:t>
            </w:r>
          </w:p>
        </w:tc>
        <w:tc>
          <w:tcPr>
            <w:tcW w:type="dxa" w:w="170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~2 days</w:t>
            </w:r>
          </w:p>
        </w:tc>
        <w:tc>
          <w:tcPr>
            <w:tcW w:type="dxa" w:w="3760"/>
            <w:tcBorders>
              <w:top w:val="single" w:color="CCCCCC" w:sz="6"/>
              <w:left w:val="single" w:color="CCCCCC" w:sz="6"/>
              <w:bottom w:val="single" w:color="CCCCCC" w:sz="6"/>
              <w:right w:val="single" w:color="CCCCCC" w:sz="6"/>
            </w:tcBorders>
            <w:tcMar>
              <w:top w:type="dxa" w:w="80"/>
              <w:left w:type="dxa" w:w="120"/>
              <w:bottom w:type="dxa" w:w="80"/>
              <w:right w:type="dxa" w:w="120"/>
            </w:tcMar>
          </w:tcPr>
          <w:p>
            <w:r>
              <w:t xml:space="preserve">only if engineers need to receive approved plans</w:t>
            </w:r>
          </w:p>
        </w:tc>
      </w:tr>
    </w:tbl>
    <w:p>
      <w:pPr>
        <w:spacing w:after="120"/>
      </w:pPr>
      <w:r>
        <w:t xml:space="preserve"/>
      </w:r>
    </w:p>
    <w:p>
      <w:pPr>
        <w:pStyle w:val="Heading1"/>
      </w:pPr>
      <w:r>
        <w:t xml:space="preserve">6. Recommendation</w:t>
      </w:r>
    </w:p>
    <w:p>
      <w:pPr>
        <w:spacing w:after="120"/>
      </w:pPr>
      <w:r>
        <w:t xml:space="preserve">If there is an immediate operational need for DXF import:</w:t>
      </w:r>
    </w:p>
    <w:p>
      <w:pPr>
        <w:pStyle w:val="ListParagraph"/>
        <w:numPr>
          <w:ilvl w:val="0"/>
          <w:numId w:val="2"/>
        </w:numPr>
        <w:spacing w:after="80"/>
      </w:pPr>
      <w:r>
        <w:rPr>
          <w:b/>
          <w:bCs/>
          <w:i w:val="false"/>
          <w:iCs w:val="false"/>
        </w:rPr>
        <w:t xml:space="preserve">Build Phase 1 + Phase 3 together. </w:t>
      </w:r>
      <w:r>
        <w:rPr>
          <w:b w:val="false"/>
          <w:bCs w:val="false"/>
          <w:i w:val="false"/>
          <w:iCs w:val="false"/>
        </w:rPr>
        <w:t xml:space="preserve">Phase 1 alone assumes every DXF arrives with a documented CRS, which in practice is unrealistic. Phase 3 covers the common "we just got this drawing without a coordinate system" case. Together they handle both well-georeferenced engineering deliveries and informal site surveys.</w:t>
      </w:r>
    </w:p>
    <w:p>
      <w:pPr>
        <w:spacing w:after="120"/>
      </w:pPr>
      <w:r>
        <w:t xml:space="preserve">If DXF support is desirable but not blocking:</w:t>
      </w:r>
    </w:p>
    <w:p>
      <w:pPr>
        <w:pStyle w:val="ListParagraph"/>
        <w:numPr>
          <w:ilvl w:val="0"/>
          <w:numId w:val="2"/>
        </w:numPr>
        <w:spacing w:after="80"/>
      </w:pPr>
      <w:r>
        <w:rPr>
          <w:b/>
          <w:bCs/>
          <w:i w:val="false"/>
          <w:iCs w:val="false"/>
        </w:rPr>
        <w:t xml:space="preserve">Defer entirely. </w:t>
      </w:r>
      <w:r>
        <w:rPr>
          <w:b w:val="false"/>
          <w:bCs w:val="false"/>
          <w:i w:val="false"/>
          <w:iCs w:val="false"/>
        </w:rPr>
        <w:t xml:space="preserve">The existing GeoJSON / KML / Shapefile importers already cover the cases where the data arrives in a geographic format. For CAD-format inputs, asking the originating engineer to export to GeoJSON via QGIS or Shapefile via ESRI tools is often quicker (one-time setup) than building DXF support in-app. This avoids the ongoing maintenance cost of handling AutoCAD's quirky entity types and version-to-version differences.</w:t>
      </w:r>
    </w:p>
    <w:p>
      <w:pPr>
        <w:pStyle w:val="Heading2"/>
      </w:pPr>
      <w:r>
        <w:t xml:space="preserve">Implementation notes for Phase 1 + 3 path</w:t>
      </w:r>
    </w:p>
    <w:p>
      <w:pPr>
        <w:pStyle w:val="ListParagraph"/>
        <w:numPr>
          <w:ilvl w:val="0"/>
          <w:numId w:val="2"/>
        </w:numPr>
        <w:spacing w:after="80"/>
      </w:pPr>
      <w:r>
        <w:t xml:space="preserve">Bundle impact: dxf-parser is ~80 kB minified. Loaded dynamically only when the user clicks Import .dxf — matches the lazy-loading pattern already used for shpjs (which is ~140 kB minified).</w:t>
      </w:r>
    </w:p>
    <w:p>
      <w:pPr>
        <w:pStyle w:val="ListParagraph"/>
        <w:numPr>
          <w:ilvl w:val="0"/>
          <w:numId w:val="2"/>
        </w:numPr>
        <w:spacing w:after="80"/>
      </w:pPr>
      <w:r>
        <w:t xml:space="preserve">proj4 may already ship as a transitive dependency of OpenLayers; if not, it adds ~150 kB but most major projections are covered out of the box.</w:t>
      </w:r>
    </w:p>
    <w:p>
      <w:pPr>
        <w:pStyle w:val="ListParagraph"/>
        <w:numPr>
          <w:ilvl w:val="0"/>
          <w:numId w:val="2"/>
        </w:numPr>
        <w:spacing w:after="80"/>
      </w:pPr>
      <w:r>
        <w:t xml:space="preserve">Ghana National Grid (EPSG:25000) is not in the default proj4 set — it must be registered explicitly with its proj4 definition string. UTM zones are bundled.</w:t>
      </w:r>
    </w:p>
    <w:p>
      <w:pPr>
        <w:pStyle w:val="ListParagraph"/>
        <w:numPr>
          <w:ilvl w:val="0"/>
          <w:numId w:val="2"/>
        </w:numPr>
        <w:spacing w:after="80"/>
      </w:pPr>
      <w:r>
        <w:t xml:space="preserve">Discretisation tolerance for circles and arcs should be configurable (default: 1 m or 32 segments per full circle, whichever produces fewer vertices) to balance fidelity against feature count.</w:t>
      </w:r>
    </w:p>
    <w:p>
      <w:pPr>
        <w:pStyle w:val="ListParagraph"/>
        <w:numPr>
          <w:ilvl w:val="0"/>
          <w:numId w:val="2"/>
        </w:numPr>
        <w:spacing w:after="80"/>
      </w:pPr>
      <w:r>
        <w:t xml:space="preserve">The DXF layer property carried through to the GeoJSON feature lets users style or filter imported entities by their original CAD layer ("road centreline", "building outline", "boundary survey", etc.).</w:t>
      </w:r>
    </w:p>
    <w:p>
      <w:pPr>
        <w:pStyle w:val="Heading1"/>
      </w:pPr>
      <w:r>
        <w:t xml:space="preserve">7. Open questions</w:t>
      </w:r>
    </w:p>
    <w:p>
      <w:pPr>
        <w:spacing w:after="120"/>
      </w:pPr>
      <w:r>
        <w:t xml:space="preserve">Before starting development, two product-level questions help scope Phase 1:</w:t>
      </w:r>
    </w:p>
    <w:p>
      <w:pPr>
        <w:pStyle w:val="ListParagraph"/>
        <w:numPr>
          <w:ilvl w:val="0"/>
          <w:numId w:val="2"/>
        </w:numPr>
        <w:spacing w:after="80"/>
      </w:pPr>
      <w:r>
        <w:rPr>
          <w:b/>
          <w:bCs/>
          <w:i w:val="false"/>
          <w:iCs w:val="false"/>
        </w:rPr>
        <w:t xml:space="preserve">Which Ghana CRSes are most commonly used by surveyors providing DXFs to LUSPA? </w:t>
      </w:r>
      <w:r>
        <w:rPr>
          <w:b w:val="false"/>
          <w:bCs w:val="false"/>
          <w:i w:val="false"/>
          <w:iCs w:val="false"/>
        </w:rPr>
        <w:t xml:space="preserve">The CRS picker should default to the most common one and surface less common options behind an "Other" choice.</w:t>
      </w:r>
    </w:p>
    <w:p>
      <w:pPr>
        <w:pStyle w:val="ListParagraph"/>
        <w:numPr>
          <w:ilvl w:val="0"/>
          <w:numId w:val="2"/>
        </w:numPr>
        <w:spacing w:after="80"/>
      </w:pPr>
      <w:r>
        <w:rPr>
          <w:b/>
          <w:bCs/>
          <w:i w:val="false"/>
          <w:iCs w:val="false"/>
        </w:rPr>
        <w:t xml:space="preserve">Are the typical DXF files large (&gt;5 MB) or small (&lt;1 MB)? </w:t>
      </w:r>
      <w:r>
        <w:rPr>
          <w:b w:val="false"/>
          <w:bCs w:val="false"/>
          <w:i w:val="false"/>
          <w:iCs w:val="false"/>
        </w:rPr>
        <w:t xml:space="preserve">Large files may require chunked parsing to avoid blocking the UI thread on mobile devices.</w:t>
      </w:r>
    </w:p>
    <w:p>
      <w:pPr>
        <w:spacing w:after="120"/>
      </w:pPr>
      <w:r>
        <w:t xml:space="preserve">Both can be answered by sampling 3–5 representative DXF files from current LUSPA workflows.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E1A4B"/>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1E1A4B"/>
      <w:sz w:val="26"/>
      <w:szCs w:val="26"/>
    </w:rPr>
  </w:style>
  <w:style w:type="paragraph" w:styleId="Heading3">
    <w:name w:val="Heading 3"/>
    <w:basedOn w:val="Normal"/>
    <w:next w:val="Normal"/>
    <w:qFormat/>
    <w:pPr>
      <w:spacing w:after="120" w:before="220"/>
      <w:outlineLvl w:val="2"/>
    </w:pPr>
    <w:rPr>
      <w:rFonts w:ascii="Arial" w:cs="Arial" w:eastAsia="Arial" w:hAnsi="Arial"/>
      <w:b/>
      <w:bCs/>
      <w:color w:val="10B98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Adding DXF Support</dc:title>
  <dc:creator>LUPMIS2 Engineering</dc:creator>
  <cp:lastModifiedBy>Un-named</cp:lastModifiedBy>
  <cp:revision>1</cp:revision>
  <dcterms:created xsi:type="dcterms:W3CDTF">2026-05-27T11:34:38.353Z</dcterms:created>
  <dcterms:modified xsi:type="dcterms:W3CDTF">2026-05-27T11:34:38.357Z</dcterms:modified>
</cp:coreProperties>
</file>

<file path=docProps/custom.xml><?xml version="1.0" encoding="utf-8"?>
<Properties xmlns="http://schemas.openxmlformats.org/officeDocument/2006/custom-properties" xmlns:vt="http://schemas.openxmlformats.org/officeDocument/2006/docPropsVTypes"/>
</file>