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800"/>
        <w:jc w:val="left"/>
      </w:pPr>
      <w:r>
        <w:rPr>
          <w:b/>
          <w:bCs/>
          <w:color w:val="1E1A4B"/>
          <w:sz w:val="56"/>
          <w:szCs w:val="56"/>
        </w:rPr>
        <w:t xml:space="preserve">LUPMIS2</w:t>
      </w:r>
    </w:p>
    <w:p>
      <w:pPr>
        <w:spacing w:after="0"/>
      </w:pPr>
      <w:r>
        <w:rPr>
          <w:b/>
          <w:bCs/>
          <w:color w:val="1E1A4B"/>
          <w:sz w:val="44"/>
          <w:szCs w:val="44"/>
        </w:rPr>
        <w:t xml:space="preserve">Reusable Mapping Module</w:t>
      </w:r>
    </w:p>
    <w:p>
      <w:pPr>
        <w:spacing w:after="360"/>
      </w:pPr>
      <w:r>
        <w:rPr>
          <w:b/>
          <w:bCs/>
          <w:color w:val="10B981"/>
          <w:sz w:val="30"/>
          <w:szCs w:val="30"/>
        </w:rPr>
        <w:t xml:space="preserve">Concept for Embedding Map Features in Other Applications</w:t>
      </w:r>
    </w:p>
    <w:p>
      <w:pPr>
        <w:spacing w:after="60"/>
      </w:pPr>
      <w:r>
        <w:rPr>
          <w:color w:val="6B7280"/>
          <w:sz w:val="24"/>
          <w:szCs w:val="24"/>
        </w:rPr>
        <w:t xml:space="preserve">Architecture &amp; Strategy Note</w:t>
      </w:r>
    </w:p>
    <w:p>
      <w:pPr>
        <w:spacing w:after="60"/>
      </w:pPr>
      <w:r>
        <w:rPr>
          <w:i/>
          <w:iCs/>
          <w:color w:val="6B7280"/>
          <w:sz w:val="22"/>
          <w:szCs w:val="22"/>
        </w:rPr>
        <w:t xml:space="preserve">Status: Draft for later discussion</w:t>
      </w:r>
    </w:p>
    <w:p>
      <w:pPr>
        <w:spacing w:after="60"/>
      </w:pPr>
      <w:r>
        <w:rPr>
          <w:color w:val="6B7280"/>
          <w:sz w:val="22"/>
          <w:szCs w:val="22"/>
        </w:rPr>
        <w:t xml:space="preserve">Date: 28 May 2026</w:t>
      </w:r>
    </w:p>
    <w:p>
      <w:pPr>
        <w:spacing w:after="60"/>
      </w:pPr>
      <w:r>
        <w:rPr>
          <w:color w:val="6B7280"/>
          <w:sz w:val="22"/>
          <w:szCs w:val="22"/>
        </w:rPr>
        <w:t xml:space="preserve">Author: LUPMIS2 Development Team</w:t>
      </w:r>
    </w:p>
    <w:p>
      <w:r>
        <w:br w:type="page"/>
      </w:r>
    </w:p>
    <w:p>
      <w:pPr>
        <w:spacing w:after="160"/>
      </w:pPr>
      <w:r>
        <w:rPr>
          <w:b/>
          <w:bCs/>
          <w:color w:val="1E1A4B"/>
          <w:sz w:val="32"/>
          <w:szCs w:val="32"/>
        </w:rPr>
        <w:t xml:space="preserve">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rPr>
          <w:color w:val="1E1A4B"/>
        </w:rPr>
        <w:t xml:space="preserve">1. Purpose &amp; Scope</w:t>
      </w:r>
    </w:p>
    <w:p>
      <w:pPr>
        <w:spacing w:after="120" w:line="276"/>
      </w:pPr>
      <w:r>
        <w:rPr>
          <w:color w:val="333333"/>
        </w:rPr>
        <w:t xml:space="preserve">Several other systems in the LUSPA / LUPMIS landscape need map functionality — displaying parcels, </w:t>
      </w:r>
      <w:r>
        <w:rPr>
          <w:color w:val="333333"/>
        </w:rPr>
        <w:t xml:space="preserve">zones and administrative boundaries, switching base layers, toggling overlays, and reacting to map clicks. </w:t>
      </w:r>
      <w:r>
        <w:rPr>
          <w:color w:val="333333"/>
        </w:rPr>
        <w:t xml:space="preserve">Rather than rebuild this each time, this note assesses how much of the mapping work already built into the </w:t>
      </w:r>
      <w:r>
        <w:rPr>
          <w:b/>
          <w:bCs/>
          <w:color w:val="333333"/>
        </w:rPr>
        <w:t xml:space="preserve">LUPMIS2 Progressive Web App (PWA)</w:t>
      </w:r>
      <w:r>
        <w:rPr>
          <w:color w:val="333333"/>
        </w:rPr>
        <w:t xml:space="preserve"> can be reused, and recommends a delivery strategy.</w:t>
      </w:r>
    </w:p>
    <w:p>
      <w:pPr>
        <w:spacing w:after="120" w:line="276"/>
      </w:pPr>
      <w:r>
        <w:rPr>
          <w:color w:val="333333"/>
        </w:rPr>
        <w:t xml:space="preserve">It answers two questions raised by the team: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(1) </w:t>
      </w:r>
      <w:r>
        <w:rPr>
          <w:color w:val="333333"/>
        </w:rPr>
        <w:t xml:space="preserve">Which mapping parts of the LUPMIS2 PWA could be reused in other applications — </w:t>
      </w:r>
      <w:r>
        <w:rPr>
          <w:color w:val="333333"/>
        </w:rPr>
        <w:t xml:space="preserve">e.g. base-layer / overlay separation in the layer switcher, the layer-group concept, the base-layer concept, and click-event handling?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(2) </w:t>
      </w:r>
      <w:r>
        <w:rPr>
          <w:color w:val="333333"/>
        </w:rPr>
        <w:t xml:space="preserve">Would it instead be easier to build a small, independent mapping section into each application that needs it?</w:t>
      </w:r>
    </w:p>
    <w:p>
      <w:pPr>
        <w:spacing w:after="120" w:line="276"/>
      </w:pPr>
      <w:r>
        <w:rPr>
          <w:i/>
          <w:iCs/>
          <w:color w:val="6B7280"/>
        </w:rPr>
        <w:t xml:space="preserve">This is a concept for later discussion, not an implementation plan. No code changes are proposed at this stage.</w:t>
      </w:r>
    </w:p>
    <w:p>
      <w:pPr>
        <w:pStyle w:val="Heading1"/>
      </w:pPr>
      <w:r>
        <w:rPr>
          <w:color w:val="1E1A4B"/>
        </w:rPr>
        <w:t xml:space="preserve">2. Current State of the PWA Map Code</w:t>
      </w:r>
    </w:p>
    <w:p>
      <w:pPr>
        <w:spacing w:after="120" w:line="276"/>
      </w:pPr>
      <w:r>
        <w:rPr>
          <w:color w:val="333333"/>
        </w:rPr>
        <w:t xml:space="preserve">The map in the PWA is implemented mainly in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src/components/MapView.js</w:t>
      </w:r>
      <w:r>
        <w:rPr>
          <w:color w:val="333333"/>
        </w:rPr>
        <w:t xml:space="preserve"> (~4,000 lines) with a companion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src/components/MapTools.js</w:t>
      </w:r>
      <w:r>
        <w:rPr>
          <w:color w:val="333333"/>
        </w:rPr>
        <w:t xml:space="preserve">. It is built on </w:t>
      </w:r>
      <w:r>
        <w:rPr>
          <w:b/>
          <w:bCs/>
          <w:color w:val="333333"/>
        </w:rPr>
        <w:t xml:space="preserve">OpenLayers 10</w:t>
      </w:r>
      <w:r>
        <w:rPr>
          <w:color w:val="333333"/>
        </w:rPr>
        <w:t xml:space="preserve"> plus the </w:t>
      </w:r>
      <w:r>
        <w:rPr>
          <w:b/>
          <w:bCs/>
          <w:color w:val="333333"/>
        </w:rPr>
        <w:t xml:space="preserve">ol-ext</w:t>
      </w:r>
      <w:r>
        <w:rPr>
          <w:color w:val="333333"/>
        </w:rPr>
        <w:t xml:space="preserve"> extension library. Encouragingly, the map core is already substantially decoupled from LUPMIS-specific concerns.</w:t>
      </w:r>
    </w:p>
    <w:p>
      <w:pPr>
        <w:pStyle w:val="Heading2"/>
      </w:pPr>
      <w:r>
        <w:rPr>
          <w:color w:val="1E1A4B"/>
        </w:rPr>
        <w:t xml:space="preserve">2.1 What is already reusable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Clean class entry point. </w:t>
      </w:r>
      <w:r>
        <w:rPr>
          <w:color w:val="333333"/>
        </w:rPr>
        <w:t xml:space="preserve">MapView is an ES6 class instantiated as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new MapView(targetId, { center, zoom, basemap })</w:t>
      </w:r>
      <w:r>
        <w:rPr>
          <w:color w:val="333333"/>
        </w:rPr>
        <w:t xml:space="preserve">. It attaches to any DOM element you pass it and makes no assumption about the surrounding LUPMIS chrome.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No hidden globals. </w:t>
      </w:r>
      <w:r>
        <w:rPr>
          <w:color w:val="333333"/>
        </w:rPr>
        <w:t xml:space="preserve">The map does not read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window.LUPMIS_SESSION</w:t>
      </w:r>
      <w:r>
        <w:rPr>
          <w:color w:val="333333"/>
        </w:rPr>
        <w:t xml:space="preserve">,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district_id</w:t>
      </w:r>
      <w:r>
        <w:rPr>
          <w:color w:val="333333"/>
        </w:rPr>
        <w:t xml:space="preserve">, or app-specific DOM IDs. All state lives on the instance.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Click handling is already a callback registry. </w:t>
      </w:r>
      <w:r>
        <w:rPr>
          <w:color w:val="333333"/>
        </w:rPr>
        <w:t xml:space="preserve">The map maintains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clickCallbacks</w:t>
      </w:r>
      <w:r>
        <w:rPr>
          <w:color w:val="333333"/>
        </w:rPr>
        <w:t xml:space="preserve"> and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dblClickCallbacks</w:t>
      </w:r>
      <w:r>
        <w:rPr>
          <w:color w:val="333333"/>
        </w:rPr>
        <w:t xml:space="preserve"> and fires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cb(lon, lat, feature, evt)</w:t>
      </w:r>
      <w:r>
        <w:rPr>
          <w:color w:val="333333"/>
        </w:rPr>
        <w:t xml:space="preserve">. The LUPMIS-specific routing (parcels, zones, measurement analysis) lives in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main.js</w:t>
      </w:r>
      <w:r>
        <w:rPr>
          <w:color w:val="333333"/>
        </w:rPr>
        <w:t xml:space="preserve">, not in the map — so the map emits events and lets the host decide what they mean.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Base-layer vs. overlay separation is generic. </w:t>
      </w:r>
      <w:r>
        <w:rPr>
          <w:color w:val="333333"/>
        </w:rPr>
        <w:t xml:space="preserve">It keys off the OpenLayers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type: 'base'</w:t>
      </w:r>
      <w:r>
        <w:rPr>
          <w:color w:val="333333"/>
        </w:rPr>
        <w:t xml:space="preserve"> property and the LayerSwitcher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drawlist</w:t>
      </w:r>
      <w:r>
        <w:rPr>
          <w:color w:val="333333"/>
        </w:rPr>
        <w:t xml:space="preserve"> event, not off hard-coded layer names. The seven base maps live in a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'Base Maps'</w:t>
      </w:r>
      <w:r>
        <w:rPr>
          <w:color w:val="333333"/>
        </w:rPr>
        <w:t xml:space="preserve"> group; everything else sits under an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'Overlays'</w:t>
      </w:r>
      <w:r>
        <w:rPr>
          <w:color w:val="333333"/>
        </w:rPr>
        <w:t xml:space="preserve"> group.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Layer-group model uses standard OpenLayers groups. </w:t>
      </w:r>
      <w:r>
        <w:rPr>
          <w:color w:val="333333"/>
        </w:rPr>
        <w:t xml:space="preserve">Hierarchical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ol.layer.Group</w:t>
      </w:r>
      <w:r>
        <w:rPr>
          <w:color w:val="333333"/>
        </w:rPr>
        <w:t xml:space="preserve"> nesting, with helper methods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addLayerGroup(id, title, description)</w:t>
      </w:r>
      <w:r>
        <w:rPr>
          <w:color w:val="333333"/>
        </w:rPr>
        <w:t xml:space="preserve"> and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getLayerGroup(id)</w:t>
      </w:r>
      <w:r>
        <w:rPr>
          <w:color w:val="333333"/>
        </w:rPr>
        <w:t xml:space="preserve"> — already a clean, data-addressable concept.</w:t>
      </w:r>
    </w:p>
    <w:p>
      <w:pPr>
        <w:pStyle w:val="Heading2"/>
      </w:pPr>
      <w:r>
        <w:rPr>
          <w:color w:val="1E1A4B"/>
        </w:rPr>
        <w:t xml:space="preserve">2.2 Where it is coupled to LUPMIS</w:t>
      </w:r>
    </w:p>
    <w:p>
      <w:pPr>
        <w:spacing w:after="120" w:line="276"/>
      </w:pPr>
      <w:r>
        <w:rPr>
          <w:color w:val="333333"/>
        </w:rPr>
        <w:t xml:space="preserve">The application-specific dependencies are concentrated in a small number of seams — and most of them live in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main.js</w:t>
      </w:r>
      <w:r>
        <w:rPr>
          <w:color w:val="333333"/>
        </w:rPr>
        <w:t xml:space="preserve"> rather than in the map class itself: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913"/>
        <w:gridCol w:w="3113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Coupling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Where it lives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Effort to sever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remotedb.js — district /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parcel / zone fetch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main.js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High — becomes injectable data provider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database.js — parcel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save / update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main.js callbacks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High — write-back, app-specific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toast.js, units.js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imported inside MapView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Medium — swap for callbacks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pdf-export.js, custom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polygon interactions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dynamic import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Low — optional plug-ins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_layerType tagging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feature properties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Low — already a soft convention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Base layers hard-coded</w:t>
            </w:r>
          </w:p>
        </w:tc>
        <w:tc>
          <w:tcPr>
            <w:tcW w:type="dxa" w:w="29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createBaseLayers()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Medium — move to a config array</w:t>
            </w:r>
          </w:p>
        </w:tc>
      </w:tr>
    </w:tbl>
    <w:p>
      <w:pPr>
        <w:spacing w:after="120" w:line="276"/>
      </w:pPr>
      <w:r>
        <w:rPr>
          <w:color w:val="333333"/>
        </w:rPr>
        <w:t xml:space="preserve">Net assessment: the map core is roughly 80% of the way to being extractable. The remaining work is severing the data and persistence seams and turning them into injected dependencies.</w:t>
      </w:r>
    </w:p>
    <w:p>
      <w:r>
        <w:br w:type="page"/>
      </w:r>
    </w:p>
    <w:p>
      <w:pPr>
        <w:pStyle w:val="Heading1"/>
      </w:pPr>
      <w:r>
        <w:rPr>
          <w:color w:val="1E1A4B"/>
        </w:rPr>
        <w:t xml:space="preserve">3. Proposed Concept — A Three-Layer Split</w:t>
      </w:r>
    </w:p>
    <w:p>
      <w:pPr>
        <w:spacing w:after="120" w:line="276"/>
      </w:pPr>
      <w:r>
        <w:rPr>
          <w:color w:val="333333"/>
        </w:rPr>
        <w:t xml:space="preserve">The recommended shape is a reusable core wrapped by two delivery channels, because different consuming applications have different integration needs.</w:t>
      </w:r>
    </w:p>
    <w:p>
      <w:pPr>
        <w:pStyle w:val="Heading2"/>
      </w:pPr>
      <w:r>
        <w:rPr>
          <w:color w:val="1E1A4B"/>
        </w:rPr>
        <w:t xml:space="preserve">3.1 Layer 1 — map-core (framework-agnostic library)</w:t>
      </w:r>
    </w:p>
    <w:p>
      <w:pPr>
        <w:spacing w:after="120" w:line="276"/>
      </w:pPr>
      <w:r>
        <w:rPr>
          <w:color w:val="333333"/>
        </w:rPr>
        <w:t xml:space="preserve">The asset worth protecting. A self-contained library that owns: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color w:val="333333"/>
        </w:rPr>
        <w:t xml:space="preserve">The MapView class, the base-layer registry and the layer-group API.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color w:val="333333"/>
        </w:rPr>
        <w:t xml:space="preserve">The customised LayerSwitcher — base/overlay separation, type chips, the reset control, active-layer count and LUSPA branding.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color w:val="333333"/>
        </w:rPr>
        <w:t xml:space="preserve">A clean click / double-click / select event bus that emits events and never decides what they mean.</w:t>
      </w:r>
    </w:p>
    <w:p>
      <w:pPr>
        <w:spacing w:after="120" w:line="276"/>
      </w:pPr>
      <w:r>
        <w:rPr>
          <w:b/>
          <w:bCs/>
          <w:color w:val="333333"/>
        </w:rPr>
        <w:t xml:space="preserve">Crucially, it knows nothing about districts or parcels. </w:t>
      </w:r>
      <w:r>
        <w:rPr>
          <w:color w:val="333333"/>
        </w:rPr>
        <w:t xml:space="preserve">No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remotedb</w:t>
      </w:r>
      <w:r>
        <w:rPr>
          <w:color w:val="333333"/>
        </w:rPr>
        <w:t xml:space="preserve">, no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database</w:t>
      </w:r>
      <w:r>
        <w:rPr>
          <w:color w:val="333333"/>
        </w:rPr>
        <w:t xml:space="preserve">, no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toast</w:t>
      </w:r>
      <w:r>
        <w:rPr>
          <w:color w:val="333333"/>
        </w:rPr>
        <w:t xml:space="preserve"> — these are injected by the consumer. The interface is </w:t>
      </w:r>
      <w:r>
        <w:rPr>
          <w:b/>
          <w:bCs/>
          <w:color w:val="333333"/>
        </w:rPr>
        <w:t xml:space="preserve">config in, events out</w:t>
      </w:r>
      <w:r>
        <w:rPr>
          <w:color w:val="333333"/>
        </w:rPr>
        <w:t xml:space="preserve">.</w:t>
      </w:r>
    </w:p>
    <w:p>
      <w:pPr>
        <w:pStyle w:val="Heading2"/>
      </w:pPr>
      <w:r>
        <w:rPr>
          <w:color w:val="1E1A4B"/>
        </w:rPr>
        <w:t xml:space="preserve">3.2 Layer 2 — iframe host (drop-in embed)</w:t>
      </w:r>
    </w:p>
    <w:p>
      <w:pPr>
        <w:spacing w:after="120" w:line="276"/>
      </w:pPr>
      <w:r>
        <w:rPr>
          <w:color w:val="333333"/>
        </w:rPr>
        <w:t xml:space="preserve">For applications that just want a working map now, with zero build integration. The host application embeds: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&lt;iframe src="https://maps.lupmis…/embed?district=5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&amp;layers=parcels,zones"&gt;&lt;/iframe&gt;</w:t>
      </w:r>
    </w:p>
    <w:p>
      <w:pPr>
        <w:spacing w:after="120" w:line="276"/>
      </w:pPr>
      <w:r>
        <w:rPr>
          <w:b/>
          <w:bCs/>
          <w:color w:val="333333"/>
        </w:rPr>
        <w:t xml:space="preserve">Pros: </w:t>
      </w:r>
      <w:r>
        <w:rPr>
          <w:color w:val="333333"/>
        </w:rPr>
        <w:t xml:space="preserve">total CSS / JS / OpenLayers-version isolation; no shared build tooling; works in any host technology; fastest to ship. </w:t>
      </w:r>
      <w:r>
        <w:rPr>
          <w:b/>
          <w:bCs/>
          <w:color w:val="333333"/>
        </w:rPr>
        <w:t xml:space="preserve">Cons: </w:t>
      </w:r>
      <w:r>
        <w:rPr>
          <w:color w:val="333333"/>
        </w:rPr>
        <w:t xml:space="preserve">heavier (full bundle loads per iframe); two-way communication needs a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postMessage</w:t>
      </w:r>
      <w:r>
        <w:rPr>
          <w:color w:val="333333"/>
        </w:rPr>
        <w:t xml:space="preserve"> bridge; popups are confined to the iframe; auth/session must be passed in explicitly.</w:t>
      </w:r>
    </w:p>
    <w:p>
      <w:pPr>
        <w:pStyle w:val="Heading2"/>
      </w:pPr>
      <w:r>
        <w:rPr>
          <w:color w:val="1E1A4B"/>
        </w:rPr>
        <w:t xml:space="preserve">3.3 Layer 3 — web component / library import (deep integration)</w:t>
      </w:r>
    </w:p>
    <w:p>
      <w:pPr>
        <w:spacing w:after="120" w:line="276"/>
      </w:pPr>
      <w:r>
        <w:rPr>
          <w:color w:val="333333"/>
        </w:rPr>
        <w:t xml:space="preserve">For applications that need the map woven into their own page — shared selection state, custom popups rendered in the host DOM, no iframe seams. Delivered as a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&lt;lupmis-map&gt;</w:t>
      </w:r>
      <w:r>
        <w:rPr>
          <w:color w:val="333333"/>
        </w:rPr>
        <w:t xml:space="preserve"> custom element or an ESM import of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map-core</w:t>
      </w:r>
      <w:r>
        <w:rPr>
          <w:color w:val="333333"/>
        </w:rPr>
        <w:t xml:space="preserve">. </w:t>
      </w:r>
      <w:r>
        <w:rPr>
          <w:b/>
          <w:bCs/>
          <w:color w:val="333333"/>
        </w:rPr>
        <w:t xml:space="preserve">Pros: </w:t>
      </w:r>
      <w:r>
        <w:rPr>
          <w:color w:val="333333"/>
        </w:rPr>
        <w:t xml:space="preserve">native events, tight integration, optional shared bundle. </w:t>
      </w:r>
      <w:r>
        <w:rPr>
          <w:b/>
          <w:bCs/>
          <w:color w:val="333333"/>
        </w:rPr>
        <w:t xml:space="preserve">Cons: </w:t>
      </w:r>
      <w:r>
        <w:rPr>
          <w:color w:val="333333"/>
        </w:rPr>
        <w:t xml:space="preserve">requires compatible build tooling; possible OpenLayers version conflicts if the host already uses OL; needs Shadow DOM to avoid CSS leakage.</w:t>
      </w:r>
    </w:p>
    <w:p>
      <w:pPr>
        <w:pStyle w:val="Heading2"/>
      </w:pPr>
      <w:r>
        <w:rPr>
          <w:color w:val="1E1A4B"/>
        </w:rPr>
        <w:t xml:space="preserve">3.4 How the layers relate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map-core  (library: MapView, layer groups, LayerSwitcher, event bus)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|                                   |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v                                   v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&lt;lupmis-map&gt; web component        map-app (iframe host +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/ ESM import  (deep, in-page)      postMessage bridge + auth)</w:t>
      </w:r>
    </w:p>
    <w:p>
      <w:pPr>
        <w:spacing w:after="120" w:line="276"/>
      </w:pPr>
      <w:r>
        <w:rPr>
          <w:b/>
          <w:bCs/>
          <w:color w:val="333333"/>
        </w:rPr>
        <w:t xml:space="preserve">LUPMIS2 itself becomes just another consumer of map-core</w:t>
      </w:r>
      <w:r>
        <w:rPr>
          <w:color w:val="333333"/>
        </w:rPr>
        <w:t xml:space="preserve"> — it injects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remotedb</w:t>
      </w:r>
      <w:r>
        <w:rPr>
          <w:color w:val="333333"/>
        </w:rPr>
        <w:t xml:space="preserve"> /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database</w:t>
      </w:r>
      <w:r>
        <w:rPr>
          <w:color w:val="333333"/>
        </w:rPr>
        <w:t xml:space="preserve"> as the data provider and save handler. That is the proof the boundary is real, and it keeps the core honest.</w:t>
      </w:r>
    </w:p>
    <w:p>
      <w:r>
        <w:br w:type="page"/>
      </w:r>
    </w:p>
    <w:p>
      <w:pPr>
        <w:pStyle w:val="Heading1"/>
      </w:pPr>
      <w:r>
        <w:rPr>
          <w:color w:val="1E1A4B"/>
        </w:rPr>
        <w:t xml:space="preserve">4. The Contract — What Makes It a Plug-in</w:t>
      </w:r>
    </w:p>
    <w:p>
      <w:pPr>
        <w:spacing w:after="120" w:line="276"/>
      </w:pPr>
      <w:r>
        <w:rPr>
          <w:color w:val="333333"/>
        </w:rPr>
        <w:t xml:space="preserve">Reuse (rather than copy-paste) depends on a stable, declarative interface. Configuration flows in; events flow out.</w:t>
      </w:r>
    </w:p>
    <w:p>
      <w:pPr>
        <w:pStyle w:val="Heading3"/>
      </w:pPr>
      <w:r>
        <w:rPr>
          <w:color w:val="10B981"/>
        </w:rPr>
        <w:t xml:space="preserve">Configuration in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{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basemaps: [...],                 // declarative, not hard-coded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groups:   [{ id, title, ... }],  // the layer-group concept as data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layers:   [{ id, type:'wms|vector|xyz',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 source, group, removable }],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dataProvider: async (req) =&gt; {}, // host injects fetch — no remotedb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center, zoom, branding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}</w:t>
      </w:r>
    </w:p>
    <w:p>
      <w:pPr>
        <w:pStyle w:val="Heading3"/>
      </w:pPr>
      <w:r>
        <w:rPr>
          <w:color w:val="10B981"/>
        </w:rPr>
        <w:t xml:space="preserve">Events out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map.on('feature:click',    ({lon,lat,feature}) =&gt; …)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map.on('feature:dblclick', …)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map.on('layer:toggle',     …)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map.on('draw:complete',    ({wkt}) =&gt; …) // host decides if/how to save</w:t>
      </w:r>
    </w:p>
    <w:p>
      <w:pPr>
        <w:spacing w:after="120" w:line="276"/>
      </w:pPr>
      <w:r>
        <w:rPr>
          <w:color w:val="333333"/>
        </w:rPr>
        <w:t xml:space="preserve">For the iframe channel these same events are marshalled across the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postMessage</w:t>
      </w:r>
      <w:r>
        <w:rPr>
          <w:color w:val="333333"/>
        </w:rPr>
        <w:t xml:space="preserve"> boundary; for the web component they surface as DOM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CustomEvent</w:t>
      </w:r>
      <w:r>
        <w:rPr>
          <w:color w:val="333333"/>
        </w:rPr>
        <w:t xml:space="preserve">s. The semantics are identical, so an application can graduate from one channel to the other without a rewrite.</w:t>
      </w:r>
    </w:p>
    <w:p>
      <w:pPr>
        <w:pStyle w:val="Heading1"/>
      </w:pPr>
      <w:r>
        <w:rPr>
          <w:color w:val="1E1A4B"/>
        </w:rPr>
        <w:t xml:space="preserve">5. Recommendation — Reuse vs. Per-App Mini-Map</w:t>
      </w:r>
    </w:p>
    <w:p>
      <w:pPr>
        <w:spacing w:after="120" w:line="276"/>
      </w:pPr>
      <w:r>
        <w:rPr>
          <w:b/>
          <w:bCs/>
          <w:color w:val="333333"/>
        </w:rPr>
        <w:t xml:space="preserve">Directly answering question (2): </w:t>
      </w:r>
      <w:r>
        <w:rPr>
          <w:color w:val="333333"/>
        </w:rPr>
        <w:t xml:space="preserve">do not build a separate mini-map in each application — except for the trivial, read-only case. The decision rule: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Trivial need </w:t>
      </w:r>
      <w:r>
        <w:rPr>
          <w:color w:val="333333"/>
        </w:rPr>
        <w:t xml:space="preserve">(“show these points/polygons on a base map, maybe click a pin”): a small standalone OpenLayers snippet per app is fine, and cheaper than coordinating a shared library. Do not over-engineer.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Real need </w:t>
      </w:r>
      <w:r>
        <w:rPr>
          <w:color w:val="333333"/>
        </w:rPr>
        <w:t xml:space="preserve">(the features the team listed — layer-switcher separation, layer-group concept, base-layer switching, structured click handling, WMS/vector overlays, the branded UX): </w:t>
      </w:r>
      <w:r>
        <w:rPr>
          <w:b/>
          <w:bCs/>
          <w:color w:val="333333"/>
        </w:rPr>
        <w:t xml:space="preserve">centralise. </w:t>
      </w:r>
      <w:r>
        <w:rPr>
          <w:color w:val="333333"/>
        </w:rPr>
        <w:t xml:space="preserve">Re-implementing the switcher separation, group model and base-layer picker in three or four applications means fixing every bug three or four times, and the UX inevitably drifts apart. That logic is exactly what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map-core</w:t>
      </w:r>
      <w:r>
        <w:rPr>
          <w:color w:val="333333"/>
        </w:rPr>
        <w:t xml:space="preserve"> protects.</w:t>
      </w:r>
    </w:p>
    <w:p>
      <w:pPr>
        <w:spacing w:after="120" w:line="276"/>
      </w:pPr>
      <w:r>
        <w:rPr>
          <w:b/>
          <w:bCs/>
          <w:color w:val="333333"/>
        </w:rPr>
        <w:t xml:space="preserve">Practical sequence: iframe-first. </w:t>
      </w:r>
      <w:r>
        <w:rPr>
          <w:color w:val="333333"/>
        </w:rPr>
        <w:t xml:space="preserve">The iframe channel gives every other team a working, consistent map quickly, with zero build coupling and full isolation, while the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map-core</w:t>
      </w:r>
      <w:r>
        <w:rPr>
          <w:color w:val="333333"/>
        </w:rPr>
        <w:t xml:space="preserve"> extraction proceeds behind it. Applications that later outgrow the iframe (needing shared DOM or selection state) graduate to the web component — same core, no rewrite.</w:t>
      </w:r>
    </w:p>
    <w:p>
      <w:pPr>
        <w:spacing w:after="120" w:line="276"/>
      </w:pPr>
      <w:r>
        <w:rPr>
          <w:color w:val="333333"/>
        </w:rPr>
        <w:t xml:space="preserve">The only genuine argument </w:t>
      </w:r>
      <w:r>
        <w:rPr>
          <w:i/>
          <w:iCs/>
          <w:color w:val="333333"/>
        </w:rPr>
        <w:t xml:space="preserve">for</w:t>
      </w:r>
      <w:r>
        <w:rPr>
          <w:color w:val="333333"/>
        </w:rPr>
        <w:t xml:space="preserve"> per-app mini-maps is avoiding a shared release cadence. That is a real cost, but it is smaller than maintaining several divergent copies of the layer and switcher logic already polished in the PWA.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313"/>
        <w:gridCol w:w="3313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Option</w:t>
            </w:r>
          </w:p>
        </w:tc>
        <w:tc>
          <w:tcPr>
            <w:tcW w:type="dxa" w:w="3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  <w:tc>
          <w:tcPr>
            <w:tcW w:type="dxa" w:w="3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Main trade-off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iframe embed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(map-app)</w:t>
            </w:r>
          </w:p>
        </w:tc>
        <w:tc>
          <w:tcPr>
            <w:tcW w:type="dxa" w:w="3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Quick, isolated drop-in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in any host</w:t>
            </w:r>
          </w:p>
        </w:tc>
        <w:tc>
          <w:tcPr>
            <w:tcW w:type="dxa" w:w="3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Heavier; postMessage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bridge for two-way comms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Web component /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library import</w:t>
            </w:r>
          </w:p>
        </w:tc>
        <w:tc>
          <w:tcPr>
            <w:tcW w:type="dxa" w:w="3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Deep in-page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integration</w:t>
            </w:r>
          </w:p>
        </w:tc>
        <w:tc>
          <w:tcPr>
            <w:tcW w:type="dxa" w:w="3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Build-tool &amp; OL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version coupling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Per-app mini-map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/>
            </w:r>
          </w:p>
        </w:tc>
        <w:tc>
          <w:tcPr>
            <w:tcW w:type="dxa" w:w="3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Trivial read-only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display only</w:t>
            </w:r>
          </w:p>
        </w:tc>
        <w:tc>
          <w:tcPr>
            <w:tcW w:type="dxa" w:w="3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Divergence; duplicated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fixes; UX drift</w:t>
            </w:r>
          </w:p>
        </w:tc>
      </w:tr>
    </w:tbl>
    <w:p>
      <w:pPr>
        <w:pStyle w:val="Heading1"/>
      </w:pPr>
      <w:r>
        <w:rPr>
          <w:color w:val="1E1A4B"/>
        </w:rPr>
        <w:t xml:space="preserve">6. Indicative Phasing</w:t>
      </w:r>
    </w:p>
    <w:p>
      <w:pPr>
        <w:spacing w:after="120" w:line="276"/>
      </w:pPr>
      <w:r>
        <w:rPr>
          <w:color w:val="333333"/>
        </w:rPr>
        <w:t xml:space="preserve">A possible sequence when the team returns to this topic (each phase is independently shippable):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Phase 0 — Inventory. </w:t>
      </w:r>
      <w:r>
        <w:rPr>
          <w:color w:val="333333"/>
        </w:rPr>
        <w:t xml:space="preserve">Confirm the consuming applications and exactly which features each needs (display only vs. interactive vs. editing).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Phase 1 — iframe MVP. </w:t>
      </w:r>
      <w:r>
        <w:rPr>
          <w:color w:val="333333"/>
        </w:rPr>
        <w:t xml:space="preserve">Wrap the existing map in a thin embed page with URL parameters and a minimal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postMessage</w:t>
      </w:r>
      <w:r>
        <w:rPr>
          <w:color w:val="333333"/>
        </w:rPr>
        <w:t xml:space="preserve"> API. Ships a usable map to other teams fastest, with no refactor of the core.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Phase 2 — Extract map-core. </w:t>
      </w:r>
      <w:r>
        <w:rPr>
          <w:color w:val="333333"/>
        </w:rPr>
        <w:t xml:space="preserve">Sever the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remotedb</w:t>
      </w:r>
      <w:r>
        <w:rPr>
          <w:color w:val="333333"/>
        </w:rPr>
        <w:t xml:space="preserve"> /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database</w:t>
      </w:r>
      <w:r>
        <w:rPr>
          <w:color w:val="333333"/>
        </w:rPr>
        <w:t xml:space="preserve"> /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toast</w:t>
      </w:r>
      <w:r>
        <w:rPr>
          <w:color w:val="333333"/>
        </w:rPr>
        <w:t xml:space="preserve"> seams behind injected dependencies; move base layers to a config array; have LUPMIS2 consume the extracted core to prove the boundary.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Phase 3 — Web component. </w:t>
      </w:r>
      <w:r>
        <w:rPr>
          <w:color w:val="333333"/>
        </w:rPr>
        <w:t xml:space="preserve">Package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map-core</w:t>
      </w:r>
      <w:r>
        <w:rPr>
          <w:color w:val="333333"/>
        </w:rPr>
        <w:t xml:space="preserve"> as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&lt;lupmis-map&gt;</w:t>
      </w:r>
      <w:r>
        <w:rPr>
          <w:color w:val="333333"/>
        </w:rPr>
        <w:t xml:space="preserve"> with Shadow DOM for the apps that need deep integration.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Phase 4 — Versioning &amp; docs. </w:t>
      </w:r>
      <w:r>
        <w:rPr>
          <w:color w:val="333333"/>
        </w:rPr>
        <w:t xml:space="preserve">Establish a release/versioning scheme and a short integration guide so consuming teams can upgrade safely.</w:t>
      </w:r>
    </w:p>
    <w:p>
      <w:pPr>
        <w:pStyle w:val="Heading1"/>
      </w:pPr>
      <w:r>
        <w:rPr>
          <w:color w:val="1E1A4B"/>
        </w:rPr>
        <w:t xml:space="preserve">7. Summary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color w:val="333333"/>
        </w:rPr>
        <w:t xml:space="preserve">The PWA map is </w:t>
      </w:r>
      <w:r>
        <w:rPr>
          <w:b/>
          <w:bCs/>
          <w:color w:val="333333"/>
        </w:rPr>
        <w:t xml:space="preserve">already ~80% extractable</w:t>
      </w:r>
      <w:r>
        <w:rPr>
          <w:color w:val="333333"/>
        </w:rPr>
        <w:t xml:space="preserve">: a clean class, no hidden globals, a callback-based event model, and generic base/overlay separation.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color w:val="333333"/>
        </w:rPr>
        <w:t xml:space="preserve">The coupling that remains (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remotedb</w:t>
      </w:r>
      <w:r>
        <w:rPr>
          <w:color w:val="333333"/>
        </w:rPr>
        <w:t xml:space="preserve">,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database</w:t>
      </w:r>
      <w:r>
        <w:rPr>
          <w:color w:val="333333"/>
        </w:rPr>
        <w:t xml:space="preserve">,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toast</w:t>
      </w:r>
      <w:r>
        <w:rPr>
          <w:color w:val="333333"/>
        </w:rPr>
        <w:t xml:space="preserve">) is concentrated in a few seams and is best replaced by </w:t>
      </w:r>
      <w:r>
        <w:rPr>
          <w:b/>
          <w:bCs/>
          <w:color w:val="333333"/>
        </w:rPr>
        <w:t xml:space="preserve">dependency injection</w:t>
      </w:r>
      <w:r>
        <w:rPr>
          <w:color w:val="333333"/>
        </w:rPr>
        <w:t xml:space="preserve">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color w:val="333333"/>
        </w:rPr>
        <w:t xml:space="preserve">Recommended shape: a reusable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map-core</w:t>
      </w:r>
      <w:r>
        <w:rPr>
          <w:color w:val="333333"/>
        </w:rPr>
        <w:t xml:space="preserve"> library with two delivery channels — an </w:t>
      </w:r>
      <w:r>
        <w:rPr>
          <w:b/>
          <w:bCs/>
          <w:color w:val="333333"/>
        </w:rPr>
        <w:t xml:space="preserve">iframe host</w:t>
      </w:r>
      <w:r>
        <w:rPr>
          <w:color w:val="333333"/>
        </w:rPr>
        <w:t xml:space="preserve"> for quick isolated embeds and a </w:t>
      </w:r>
      <w:r>
        <w:rPr>
          <w:b/>
          <w:bCs/>
          <w:color w:val="333333"/>
        </w:rPr>
        <w:t xml:space="preserve">web component</w:t>
      </w:r>
      <w:r>
        <w:rPr>
          <w:color w:val="333333"/>
        </w:rPr>
        <w:t xml:space="preserve"> for deep integration.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Do not </w:t>
      </w:r>
      <w:r>
        <w:rPr>
          <w:color w:val="333333"/>
        </w:rPr>
        <w:t xml:space="preserve">scatter independent mini-maps across applications unless the need is trivial and read-only; centralise the layer-switcher, group and base-layer logic.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color w:val="333333"/>
        </w:rPr>
        <w:t xml:space="preserve">Suggested first step is an </w:t>
      </w:r>
      <w:r>
        <w:rPr>
          <w:b/>
          <w:bCs/>
          <w:color w:val="333333"/>
        </w:rPr>
        <w:t xml:space="preserve">iframe MVP</w:t>
      </w:r>
      <w:r>
        <w:rPr>
          <w:color w:val="333333"/>
        </w:rPr>
        <w:t xml:space="preserve">, which delivers value immediately while the core extraction proceeds behind it.</w:t>
      </w:r>
    </w:p>
    <w:p>
      <w:pPr>
        <w:spacing w:before="240"/>
      </w:pPr>
      <w:r>
        <w:rPr>
          <w:i/>
          <w:iCs/>
          <w:color w:val="6B7280"/>
        </w:rPr>
        <w:t xml:space="preserve">End of concept note. To be revisited at a later stage.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Page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of </w:t>
    </w:r>
    <w:r>
      <w:rPr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2"/>
      </w:pBdr>
      <w:jc w:val="right"/>
    </w:pPr>
    <w:r>
      <w:rPr>
        <w:color w:val="6B7280"/>
        <w:sz w:val="16"/>
        <w:szCs w:val="16"/>
      </w:rPr>
      <w:t xml:space="preserve">LUPMIS2 — Reusable Mapping Module Concept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  <w:lvl w:ilvl="1" w15:tentative="1">
      <w:start w:val="1"/>
      <w:numFmt w:val="bullet"/>
      <w:lvlText w:val="◦"/>
      <w:lvlJc w:val="left"/>
      <w:pPr>
        <w:ind w:left="108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0B981" w:sz="6" w:space="4"/>
      </w:pBdr>
      <w:spacing w:after="160" w:before="300"/>
      <w:outlineLvl w:val="0"/>
    </w:pPr>
    <w:rPr>
      <w:rFonts w:ascii="Arial" w:cs="Arial" w:eastAsia="Arial" w:hAnsi="Arial"/>
      <w:b/>
      <w:bCs/>
      <w:color w:val="1E1A4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20"/>
      <w:outlineLvl w:val="1"/>
    </w:pPr>
    <w:rPr>
      <w:rFonts w:ascii="Arial" w:cs="Arial" w:eastAsia="Arial" w:hAnsi="Arial"/>
      <w:b/>
      <w:bCs/>
      <w:color w:val="1E1A4B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0B98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LUPMIS2 Reusable Mapping Module — Concept</dc:title>
  <dc:creator>LUPMIS2 Development Team</dc:creator>
  <dc:description>Concept for embedding LUPMIS2 PWA map features in other applications</dc:description>
  <cp:lastModifiedBy>Un-named</cp:lastModifiedBy>
  <cp:revision>1</cp:revision>
  <dcterms:created xsi:type="dcterms:W3CDTF">2026-05-28T09:00:03.043Z</dcterms:created>
  <dcterms:modified xsi:type="dcterms:W3CDTF">2026-05-28T09:00:03.043Z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