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6169EA7" w14:textId="77777777" w:rsidR="007225A5" w:rsidRPr="003E024E" w:rsidRDefault="00FF00D1">
      <w:pPr>
        <w:spacing w:before="3000"/>
        <w:rPr>
          <w:lang w:val="en-GB"/>
        </w:rPr>
      </w:pPr>
      <w:r>
        <w:rPr>
          <w:rFonts w:ascii="IBM Plex Sans" w:eastAsia="Arial" w:hAnsi="IBM Plex Sans" w:cs="Arial"/>
          <w:noProof/>
          <w:lang w:val="en-GB"/>
        </w:rPr>
        <w:drawing>
          <wp:anchor distT="0" distB="0" distL="114300" distR="114300" simplePos="0" relativeHeight="251659264" behindDoc="1" locked="0" layoutInCell="1" allowOverlap="1" wp14:anchorId="1BDEF08B" wp14:editId="52BED425">
            <wp:simplePos x="0" y="0"/>
            <wp:positionH relativeFrom="column">
              <wp:posOffset>79375</wp:posOffset>
            </wp:positionH>
            <wp:positionV relativeFrom="paragraph">
              <wp:posOffset>701813</wp:posOffset>
            </wp:positionV>
            <wp:extent cx="6094730" cy="8616950"/>
            <wp:effectExtent l="0" t="0" r="1270" b="6350"/>
            <wp:wrapNone/>
            <wp:docPr id="135470290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702900" name="Grafik 1354702900"/>
                    <pic:cNvPicPr/>
                  </pic:nvPicPr>
                  <pic:blipFill>
                    <a:blip r:embed="rId7" cstate="print">
                      <a:extLst>
                        <a:ext uri="{28A0092B-C50C-407E-A947-70E740481C1C}">
                          <a14:useLocalDpi xmlns:a14="http://schemas.microsoft.com/office/drawing/2010/main" val="0"/>
                        </a:ext>
                      </a:extLst>
                    </a:blip>
                    <a:stretch>
                      <a:fillRect/>
                    </a:stretch>
                  </pic:blipFill>
                  <pic:spPr>
                    <a:xfrm>
                      <a:off x="0" y="0"/>
                      <a:ext cx="6094730" cy="8616950"/>
                    </a:xfrm>
                    <a:prstGeom prst="rect">
                      <a:avLst/>
                    </a:prstGeom>
                  </pic:spPr>
                </pic:pic>
              </a:graphicData>
            </a:graphic>
            <wp14:sizeRelH relativeFrom="margin">
              <wp14:pctWidth>0</wp14:pctWidth>
            </wp14:sizeRelH>
            <wp14:sizeRelV relativeFrom="margin">
              <wp14:pctHeight>0</wp14:pctHeight>
            </wp14:sizeRelV>
          </wp:anchor>
        </w:drawing>
      </w:r>
    </w:p>
    <w:p w14:paraId="3CD155B8" w14:textId="77777777" w:rsidR="00FF00D1" w:rsidRPr="003E024E" w:rsidRDefault="00FF00D1" w:rsidP="00FF00D1">
      <w:pPr>
        <w:pStyle w:val="Style"/>
        <w:spacing w:line="946" w:lineRule="exact"/>
        <w:ind w:left="1718"/>
        <w:textAlignment w:val="baseline"/>
        <w:rPr>
          <w:rFonts w:ascii="IBM Plex Sans" w:hAnsi="IBM Plex Sans"/>
          <w:lang w:val="en-GB"/>
        </w:rPr>
      </w:pPr>
      <w:r>
        <w:rPr>
          <w:rFonts w:ascii="IBM Plex Sans" w:eastAsia="Courier New" w:hAnsi="IBM Plex Sans" w:cs="Courier New"/>
          <w:w w:val="78"/>
          <w:sz w:val="76"/>
          <w:szCs w:val="76"/>
          <w:lang w:val="en-GB"/>
        </w:rPr>
        <w:t>GHANA</w:t>
      </w:r>
    </w:p>
    <w:p w14:paraId="45D240A5" w14:textId="77777777" w:rsidR="00FF00D1" w:rsidRPr="003E024E" w:rsidRDefault="00FF00D1" w:rsidP="00FF00D1">
      <w:pPr>
        <w:pStyle w:val="Style"/>
        <w:spacing w:before="4" w:line="432" w:lineRule="exact"/>
        <w:ind w:left="1704"/>
        <w:textAlignment w:val="baseline"/>
        <w:rPr>
          <w:rFonts w:ascii="IBM Plex Sans" w:hAnsi="IBM Plex Sans"/>
          <w:lang w:val="en-GB"/>
        </w:rPr>
      </w:pPr>
      <w:r>
        <w:rPr>
          <w:rFonts w:ascii="IBM Plex Sans" w:eastAsia="Arial" w:hAnsi="IBM Plex Sans" w:cs="Arial"/>
          <w:sz w:val="31"/>
          <w:szCs w:val="31"/>
          <w:lang w:val="en-GB"/>
        </w:rPr>
        <w:t xml:space="preserve">Development of a Spatial Planning and Management Information System for Ghana </w:t>
      </w:r>
    </w:p>
    <w:p w14:paraId="2E06DAC0" w14:textId="77777777" w:rsidR="00FF00D1" w:rsidRPr="003E024E" w:rsidRDefault="00FF00D1" w:rsidP="00FF00D1">
      <w:pPr>
        <w:spacing w:before="240"/>
        <w:jc w:val="center"/>
        <w:rPr>
          <w:rFonts w:ascii="IBM Plex Sans" w:eastAsia="Arial" w:hAnsi="IBM Plex Sans" w:cs="Arial"/>
          <w:lang w:val="en-GB"/>
        </w:rPr>
      </w:pPr>
      <w:r>
        <w:rPr>
          <w:b/>
          <w:bCs/>
          <w:color w:val="1E1A4B"/>
          <w:sz w:val="28"/>
          <w:szCs w:val="28"/>
          <w:lang w:val="en-GB"/>
        </w:rPr>
        <w:t>LUPMIS2 Database Schema Summary</w:t>
      </w:r>
      <w:r>
        <w:rPr>
          <w:rFonts w:ascii="IBM Plex Sans" w:eastAsia="Arial" w:hAnsi="IBM Plex Sans" w:cs="Arial"/>
          <w:lang w:val="en-GB"/>
        </w:rPr>
      </w:r>
    </w:p>
    <w:p w14:paraId="5802C54D" w14:textId="77777777" w:rsidR="00FF00D1" w:rsidRPr="003E024E" w:rsidRDefault="00FF00D1" w:rsidP="00FF00D1">
      <w:pPr>
        <w:spacing w:before="240"/>
        <w:jc w:val="center"/>
        <w:rPr>
          <w:rFonts w:ascii="IBM Plex Sans" w:eastAsia="Arial" w:hAnsi="IBM Plex Sans" w:cs="Arial"/>
          <w:lang w:val="en-GB"/>
        </w:rPr>
      </w:pPr>
      <w:r>
        <w:rPr>
          <w:rFonts w:ascii="IBM Plex Sans" w:eastAsia="Arial" w:hAnsi="IBM Plex Sans" w:cs="Arial"/>
          <w:lang w:val="en-GB"/>
        </w:rPr>
        <w:t>Condensed Data Dictionary  ·  August 2026</w:t>
      </w:r>
    </w:p>
    <w:p w14:paraId="7D57F4BC" w14:textId="77777777" w:rsidR="007225A5" w:rsidRPr="003E024E" w:rsidRDefault="007225A5">
      <w:pPr>
        <w:jc w:val="center"/>
        <w:rPr>
          <w:lang w:val="en-GB"/>
        </w:rPr>
      </w:pPr>
    </w:p>
    <w:p w14:paraId="3254C15D" w14:textId="77777777" w:rsidR="007225A5" w:rsidRPr="003E024E" w:rsidRDefault="007225A5">
      <w:pPr>
        <w:rPr>
          <w:lang w:val="en-GB"/>
        </w:rPr>
        <w:sectPr w:rsidR="007225A5" w:rsidRPr="003E024E">
          <w:pgSz w:w="11906" w:h="16838"/>
          <w:pgMar w:top="1440" w:right="1440" w:bottom="1440" w:left="1440" w:header="708" w:footer="708" w:gutter="0"/>
          <w:cols w:space="720"/>
          <w:docGrid w:linePitch="360"/>
        </w:sectPr>
      </w:pPr>
    </w:p>
    <w:p>
      <w:pPr>
        <w:pStyle w:val="berschrift1"/>
        <w:spacing w:after="120" w:before="280"/>
      </w:pPr>
      <w:r>
        <w:t>Database Schema Summary</w:t>
      </w:r>
    </w:p>
    <w:p>
      <w:pPr>
        <w:spacing w:after="160"/>
      </w:pPr>
      <w:r>
        <w:rPr>
          <w:color w:val="6B7280"/>
          <w:sz w:val="20"/>
        </w:rPr>
        <w:t>Condensed from the generated data dictionary  ·  August 2026</w:t>
      </w:r>
    </w:p>
    <w:tbl>
      <w:tblPr>
        <w:tblW w:type="auto" w:w="0"/>
        <w:tblLayout w:type="fixed"/>
        <w:tblLook w:firstColumn="1" w:firstRow="1" w:lastColumn="0" w:lastRow="0" w:noHBand="0" w:noVBand="1" w:val="04A0"/>
        <w:tblBorders>
          <w:top w:val="single" w:sz="4" w:space="0" w:color="D9D9E3"/>
          <w:left w:val="single" w:sz="4" w:space="0" w:color="D9D9E3"/>
          <w:bottom w:val="single" w:sz="4" w:space="0" w:color="D9D9E3"/>
          <w:right w:val="single" w:sz="4" w:space="0" w:color="D9D9E3"/>
          <w:insideH w:val="single" w:sz="4" w:space="0" w:color="D9D9E3"/>
          <w:insideV w:val="single" w:sz="4" w:space="0" w:color="D9D9E3"/>
        </w:tblBorders>
        <w:tblLayout w:type="fixed"/>
        <w:tblW w:w="9026" w:type="dxa"/>
      </w:tblPr>
      <w:tblGrid>
        <w:gridCol w:w="9026"/>
      </w:tblGrid>
      <w:tr>
        <w:tc>
          <w:tcPr>
            <w:tcW w:type="dxa" w:w="9026"/>
            <w:shd w:val="clear" w:color="auto" w:fill="EEF2FF"/>
          </w:tcPr>
          <w:p>
            <w:pPr>
              <w:spacing w:before="60" w:after="60"/>
            </w:pPr>
            <w:r>
              <w:rPr>
                <w:rFonts w:ascii="Calibri" w:hAnsi="Calibri"/>
                <w:b/>
                <w:color w:val="1E1A4B"/>
                <w:sz w:val="21"/>
              </w:rPr>
              <w:t xml:space="preserve">What this is. </w:t>
            </w:r>
            <w:r>
              <w:rPr>
                <w:rFonts w:ascii="Calibri" w:hAnsi="Calibri"/>
                <w:b w:val="0"/>
                <w:color w:val="1E1A4B"/>
                <w:sz w:val="21"/>
              </w:rPr>
              <w:t>A reading guide to the LUPMIS database, condensed from the 96-page data dictionary generated on 20 August 2026. It explains how the database is organised and what the table-name prefixes mean, then lists every table with one line on what it holds. The generated dictionary remains the authority on columns, types and indexes; this document is the one to read first.</w:t>
            </w:r>
          </w:p>
        </w:tc>
      </w:tr>
    </w:tbl>
    <w:p>
      <w:pPr>
        <w:spacing w:after="120"/>
      </w:pPr>
    </w:p>
    <w:p>
      <w:pPr>
        <w:pStyle w:val="berschrift1"/>
        <w:spacing w:after="120" w:before="280"/>
      </w:pPr>
      <w:r>
        <w:t>1. Purpose and scope</w:t>
      </w:r>
    </w:p>
    <w:p>
      <w:pPr>
        <w:spacing w:after="120"/>
      </w:pPr>
      <w:r>
        <w:rPr>
          <w:rFonts w:ascii="Calibri" w:hAnsi="Calibri"/>
          <w:color w:val="333333"/>
          <w:sz w:val="22"/>
        </w:rPr>
        <w:t>The database team maintains a data dictionary generated directly from the live database. It is complete and correct, and it is 96 pages long: every column, type, index and function signature, with no commentary. That makes it an excellent reference and a poor introduction — a reader who wants to know what the database contains has to reconstruct it from several hundred column names.</w:t>
      </w:r>
    </w:p>
    <w:p>
      <w:pPr>
        <w:spacing w:after="120"/>
      </w:pPr>
      <w:r>
        <w:rPr>
          <w:rFonts w:ascii="Calibri" w:hAnsi="Calibri"/>
          <w:color w:val="333333"/>
          <w:sz w:val="22"/>
        </w:rPr>
        <w:t>This summary covers the same ground in a form that can be read in one sitting. It does not replace the generated dictionary and does not repeat its detail. Where the two disagree, the generated dictionary is correct: it is produced from the database itself, whereas this document is written by hand and will drift as the schema changes.</w:t>
      </w:r>
    </w:p>
    <w:p>
      <w:pPr>
        <w:spacing w:after="120"/>
      </w:pPr>
      <w:r>
        <w:rPr>
          <w:rFonts w:ascii="Calibri" w:hAnsi="Calibri"/>
          <w:color w:val="333333"/>
          <w:sz w:val="22"/>
        </w:rPr>
        <w:t>Source: DataDictionary_20260820110253.pdf, generated with Navicat from server pg-l4l-ssh on 20 August 2026. One database (postgres), four schemas, 59 tables and 116 stored functions. No views are defined.</w:t>
      </w:r>
    </w:p>
    <w:p>
      <w:pPr>
        <w:pStyle w:val="berschrift1"/>
        <w:spacing w:after="120" w:before="280"/>
      </w:pPr>
      <w:r>
        <w:t>2. How the database is organised</w:t>
      </w:r>
    </w:p>
    <w:p>
      <w:pPr>
        <w:spacing w:after="120"/>
      </w:pPr>
      <w:r>
        <w:rPr>
          <w:rFonts w:ascii="Calibri" w:hAnsi="Calibri"/>
          <w:color w:val="333333"/>
          <w:sz w:val="22"/>
        </w:rPr>
        <w:t>The database is divided into four schemas, each owned by a different part of the system. The division is clean: the mapping application reads almost exclusively from spatial, the permitting system from permit, and neither touches the other's tables directly.</w:t>
      </w:r>
    </w:p>
    <w:tbl>
      <w:tblPr>
        <w:tblW w:type="auto" w:w="0"/>
        <w:jc w:val="left"/>
        <w:tblLayout w:type="fixed"/>
        <w:tblLook w:firstColumn="1" w:firstRow="1" w:lastColumn="0" w:lastRow="0" w:noHBand="0" w:noVBand="1" w:val="04A0"/>
        <w:tblBorders>
          <w:top w:val="single" w:sz="4" w:space="0" w:color="D9D9E3"/>
          <w:left w:val="single" w:sz="4" w:space="0" w:color="D9D9E3"/>
          <w:bottom w:val="single" w:sz="4" w:space="0" w:color="D9D9E3"/>
          <w:right w:val="single" w:sz="4" w:space="0" w:color="D9D9E3"/>
          <w:insideH w:val="single" w:sz="4" w:space="0" w:color="D9D9E3"/>
          <w:insideV w:val="single" w:sz="4" w:space="0" w:color="D9D9E3"/>
        </w:tblBorders>
        <w:tblLayout w:type="fixed"/>
        <w:tblW w:w="9026" w:type="dxa"/>
      </w:tblPr>
      <w:tblGrid>
        <w:gridCol w:w="1496"/>
        <w:gridCol w:w="5325"/>
        <w:gridCol w:w="1102"/>
        <w:gridCol w:w="1102"/>
      </w:tblGrid>
      <w:tr>
        <w:trPr>
          <w:tblHeader/>
          <w:cantSplit/>
        </w:trPr>
        <w:tc>
          <w:tcPr>
            <w:tcW w:type="dxa" w:w="1496"/>
            <w:shd w:val="clear" w:color="auto" w:fill="1E1A4B"/>
          </w:tcPr>
          <w:p>
            <w:pPr>
              <w:spacing w:before="20" w:after="20"/>
            </w:pPr>
            <w:r>
              <w:rPr>
                <w:rFonts w:ascii="Calibri" w:hAnsi="Calibri"/>
                <w:b/>
                <w:color w:val="FFFFFF"/>
                <w:sz w:val="20"/>
              </w:rPr>
              <w:t>Schema</w:t>
            </w:r>
          </w:p>
        </w:tc>
        <w:tc>
          <w:tcPr>
            <w:tcW w:type="dxa" w:w="5325"/>
            <w:shd w:val="clear" w:color="auto" w:fill="1E1A4B"/>
          </w:tcPr>
          <w:p>
            <w:pPr>
              <w:spacing w:before="20" w:after="20"/>
            </w:pPr>
            <w:r>
              <w:rPr>
                <w:rFonts w:ascii="Calibri" w:hAnsi="Calibri"/>
                <w:b/>
                <w:color w:val="FFFFFF"/>
                <w:sz w:val="20"/>
              </w:rPr>
              <w:t>What it is for</w:t>
            </w:r>
          </w:p>
        </w:tc>
        <w:tc>
          <w:tcPr>
            <w:tcW w:type="dxa" w:w="1102"/>
            <w:shd w:val="clear" w:color="auto" w:fill="1E1A4B"/>
          </w:tcPr>
          <w:p>
            <w:pPr>
              <w:spacing w:before="20" w:after="20"/>
            </w:pPr>
            <w:r>
              <w:rPr>
                <w:rFonts w:ascii="Calibri" w:hAnsi="Calibri"/>
                <w:b/>
                <w:color w:val="FFFFFF"/>
                <w:sz w:val="20"/>
              </w:rPr>
              <w:t>Tables</w:t>
            </w:r>
          </w:p>
        </w:tc>
        <w:tc>
          <w:tcPr>
            <w:tcW w:type="dxa" w:w="1102"/>
            <w:shd w:val="clear" w:color="auto" w:fill="1E1A4B"/>
          </w:tcPr>
          <w:p>
            <w:pPr>
              <w:spacing w:before="20" w:after="20"/>
            </w:pPr>
            <w:r>
              <w:rPr>
                <w:rFonts w:ascii="Calibri" w:hAnsi="Calibri"/>
                <w:b/>
                <w:color w:val="FFFFFF"/>
                <w:sz w:val="20"/>
              </w:rPr>
              <w:t>Functions</w:t>
            </w:r>
          </w:p>
        </w:tc>
      </w:tr>
      <w:tr>
        <w:trPr>
          <w:cantSplit/>
        </w:trPr>
        <w:tc>
          <w:tcPr>
            <w:tcW w:type="dxa" w:w="1496"/>
            <w:shd w:val="clear" w:color="auto" w:fill="FFFFFF"/>
          </w:tcPr>
          <w:p>
            <w:pPr>
              <w:spacing w:before="20" w:after="20"/>
            </w:pPr>
            <w:r>
              <w:rPr>
                <w:rFonts w:ascii="Calibri" w:hAnsi="Calibri"/>
                <w:b/>
                <w:color w:val="333333"/>
                <w:sz w:val="18"/>
              </w:rPr>
              <w:t>admin</w:t>
            </w:r>
          </w:p>
        </w:tc>
        <w:tc>
          <w:tcPr>
            <w:tcW w:type="dxa" w:w="5325"/>
            <w:shd w:val="clear" w:color="auto" w:fill="FFFFFF"/>
          </w:tcPr>
          <w:p>
            <w:pPr>
              <w:spacing w:before="20" w:after="20"/>
            </w:pPr>
            <w:r>
              <w:rPr>
                <w:rFonts w:ascii="Calibri" w:hAnsi="Calibri"/>
                <w:b w:val="0"/>
                <w:color w:val="333333"/>
                <w:sz w:val="18"/>
              </w:rPr>
              <w:t>Users, roles, menus, privileges, API tokens and access logging. Shared by every LUPMIS subsystem.</w:t>
            </w:r>
          </w:p>
        </w:tc>
        <w:tc>
          <w:tcPr>
            <w:tcW w:type="dxa" w:w="1102"/>
            <w:shd w:val="clear" w:color="auto" w:fill="FFFFFF"/>
          </w:tcPr>
          <w:p>
            <w:pPr>
              <w:spacing w:before="20" w:after="20"/>
            </w:pPr>
            <w:r>
              <w:rPr>
                <w:rFonts w:ascii="Calibri" w:hAnsi="Calibri"/>
                <w:b w:val="0"/>
                <w:color w:val="333333"/>
                <w:sz w:val="18"/>
              </w:rPr>
              <w:t>13</w:t>
            </w:r>
          </w:p>
        </w:tc>
        <w:tc>
          <w:tcPr>
            <w:tcW w:type="dxa" w:w="1102"/>
            <w:shd w:val="clear" w:color="auto" w:fill="FFFFFF"/>
          </w:tcPr>
          <w:p>
            <w:pPr>
              <w:spacing w:before="20" w:after="20"/>
            </w:pPr>
            <w:r>
              <w:rPr>
                <w:rFonts w:ascii="Calibri" w:hAnsi="Calibri"/>
                <w:b w:val="0"/>
                <w:color w:val="333333"/>
                <w:sz w:val="18"/>
              </w:rPr>
              <w:t>28</w:t>
            </w:r>
          </w:p>
        </w:tc>
      </w:tr>
      <w:tr>
        <w:trPr>
          <w:cantSplit/>
        </w:trPr>
        <w:tc>
          <w:tcPr>
            <w:tcW w:type="dxa" w:w="1496"/>
            <w:shd w:val="clear" w:color="auto" w:fill="F0F0F8"/>
          </w:tcPr>
          <w:p>
            <w:pPr>
              <w:spacing w:before="20" w:after="20"/>
            </w:pPr>
            <w:r>
              <w:rPr>
                <w:rFonts w:ascii="Calibri" w:hAnsi="Calibri"/>
                <w:b/>
                <w:color w:val="333333"/>
                <w:sz w:val="18"/>
              </w:rPr>
              <w:t>dataroom</w:t>
            </w:r>
          </w:p>
        </w:tc>
        <w:tc>
          <w:tcPr>
            <w:tcW w:type="dxa" w:w="5325"/>
            <w:shd w:val="clear" w:color="auto" w:fill="F0F0F8"/>
          </w:tcPr>
          <w:p>
            <w:pPr>
              <w:spacing w:before="20" w:after="20"/>
            </w:pPr>
            <w:r>
              <w:rPr>
                <w:rFonts w:ascii="Calibri" w:hAnsi="Calibri"/>
                <w:b w:val="0"/>
                <w:color w:val="333333"/>
                <w:sz w:val="18"/>
              </w:rPr>
              <w:t>Catalogue of published datasets with versioning, licensing, checksums and download tracking.</w:t>
            </w:r>
          </w:p>
        </w:tc>
        <w:tc>
          <w:tcPr>
            <w:tcW w:type="dxa" w:w="1102"/>
            <w:shd w:val="clear" w:color="auto" w:fill="F0F0F8"/>
          </w:tcPr>
          <w:p>
            <w:pPr>
              <w:spacing w:before="20" w:after="20"/>
            </w:pPr>
            <w:r>
              <w:rPr>
                <w:rFonts w:ascii="Calibri" w:hAnsi="Calibri"/>
                <w:b w:val="0"/>
                <w:color w:val="333333"/>
                <w:sz w:val="18"/>
              </w:rPr>
              <w:t>5</w:t>
            </w:r>
          </w:p>
        </w:tc>
        <w:tc>
          <w:tcPr>
            <w:tcW w:type="dxa" w:w="1102"/>
            <w:shd w:val="clear" w:color="auto" w:fill="F0F0F8"/>
          </w:tcPr>
          <w:p>
            <w:pPr>
              <w:spacing w:before="20" w:after="20"/>
            </w:pPr>
            <w:r>
              <w:rPr>
                <w:rFonts w:ascii="Calibri" w:hAnsi="Calibri"/>
                <w:b w:val="0"/>
                <w:color w:val="333333"/>
                <w:sz w:val="18"/>
              </w:rPr>
              <w:t>18</w:t>
            </w:r>
          </w:p>
        </w:tc>
      </w:tr>
      <w:tr>
        <w:trPr>
          <w:cantSplit/>
        </w:trPr>
        <w:tc>
          <w:tcPr>
            <w:tcW w:type="dxa" w:w="1496"/>
            <w:shd w:val="clear" w:color="auto" w:fill="FFFFFF"/>
          </w:tcPr>
          <w:p>
            <w:pPr>
              <w:spacing w:before="20" w:after="20"/>
            </w:pPr>
            <w:r>
              <w:rPr>
                <w:rFonts w:ascii="Calibri" w:hAnsi="Calibri"/>
                <w:b/>
                <w:color w:val="333333"/>
                <w:sz w:val="18"/>
              </w:rPr>
              <w:t>permit</w:t>
            </w:r>
          </w:p>
        </w:tc>
        <w:tc>
          <w:tcPr>
            <w:tcW w:type="dxa" w:w="5325"/>
            <w:shd w:val="clear" w:color="auto" w:fill="FFFFFF"/>
          </w:tcPr>
          <w:p>
            <w:pPr>
              <w:spacing w:before="20" w:after="20"/>
            </w:pPr>
            <w:r>
              <w:rPr>
                <w:rFonts w:ascii="Calibri" w:hAnsi="Calibri"/>
                <w:b w:val="0"/>
                <w:color w:val="333333"/>
                <w:sz w:val="18"/>
              </w:rPr>
              <w:t>Development and mining permit applications: applicants, agents, documents, stages and status history.</w:t>
            </w:r>
          </w:p>
        </w:tc>
        <w:tc>
          <w:tcPr>
            <w:tcW w:type="dxa" w:w="1102"/>
            <w:shd w:val="clear" w:color="auto" w:fill="FFFFFF"/>
          </w:tcPr>
          <w:p>
            <w:pPr>
              <w:spacing w:before="20" w:after="20"/>
            </w:pPr>
            <w:r>
              <w:rPr>
                <w:rFonts w:ascii="Calibri" w:hAnsi="Calibri"/>
                <w:b w:val="0"/>
                <w:color w:val="333333"/>
                <w:sz w:val="18"/>
              </w:rPr>
              <w:t>10</w:t>
            </w:r>
          </w:p>
        </w:tc>
        <w:tc>
          <w:tcPr>
            <w:tcW w:type="dxa" w:w="1102"/>
            <w:shd w:val="clear" w:color="auto" w:fill="FFFFFF"/>
          </w:tcPr>
          <w:p>
            <w:pPr>
              <w:spacing w:before="20" w:after="20"/>
            </w:pPr>
            <w:r>
              <w:rPr>
                <w:rFonts w:ascii="Calibri" w:hAnsi="Calibri"/>
                <w:b w:val="0"/>
                <w:color w:val="333333"/>
                <w:sz w:val="18"/>
              </w:rPr>
              <w:t>43</w:t>
            </w:r>
          </w:p>
        </w:tc>
      </w:tr>
      <w:tr>
        <w:trPr>
          <w:cantSplit/>
        </w:trPr>
        <w:tc>
          <w:tcPr>
            <w:tcW w:type="dxa" w:w="1496"/>
            <w:shd w:val="clear" w:color="auto" w:fill="F0F0F8"/>
          </w:tcPr>
          <w:p>
            <w:pPr>
              <w:spacing w:before="20" w:after="20"/>
            </w:pPr>
            <w:r>
              <w:rPr>
                <w:rFonts w:ascii="Calibri" w:hAnsi="Calibri"/>
                <w:b/>
                <w:color w:val="333333"/>
                <w:sz w:val="18"/>
              </w:rPr>
              <w:t>spatial</w:t>
            </w:r>
          </w:p>
        </w:tc>
        <w:tc>
          <w:tcPr>
            <w:tcW w:type="dxa" w:w="5325"/>
            <w:shd w:val="clear" w:color="auto" w:fill="F0F0F8"/>
          </w:tcPr>
          <w:p>
            <w:pPr>
              <w:spacing w:before="20" w:after="20"/>
            </w:pPr>
            <w:r>
              <w:rPr>
                <w:rFonts w:ascii="Calibri" w:hAnsi="Calibri"/>
                <w:b w:val="0"/>
                <w:color w:val="333333"/>
                <w:sz w:val="18"/>
              </w:rPr>
              <w:t>All mapping data — boundaries, parcels, land use, infrastructure, facilities and elevation. This is what the PWA reads.</w:t>
            </w:r>
          </w:p>
        </w:tc>
        <w:tc>
          <w:tcPr>
            <w:tcW w:type="dxa" w:w="1102"/>
            <w:shd w:val="clear" w:color="auto" w:fill="F0F0F8"/>
          </w:tcPr>
          <w:p>
            <w:pPr>
              <w:spacing w:before="20" w:after="20"/>
            </w:pPr>
            <w:r>
              <w:rPr>
                <w:rFonts w:ascii="Calibri" w:hAnsi="Calibri"/>
                <w:b w:val="0"/>
                <w:color w:val="333333"/>
                <w:sz w:val="18"/>
              </w:rPr>
              <w:t>32</w:t>
            </w:r>
          </w:p>
        </w:tc>
        <w:tc>
          <w:tcPr>
            <w:tcW w:type="dxa" w:w="1102"/>
            <w:shd w:val="clear" w:color="auto" w:fill="F0F0F8"/>
          </w:tcPr>
          <w:p>
            <w:pPr>
              <w:spacing w:before="20" w:after="20"/>
            </w:pPr>
            <w:r>
              <w:rPr>
                <w:rFonts w:ascii="Calibri" w:hAnsi="Calibri"/>
                <w:b w:val="0"/>
                <w:color w:val="333333"/>
                <w:sz w:val="18"/>
              </w:rPr>
              <w:t>30</w:t>
            </w:r>
          </w:p>
        </w:tc>
      </w:tr>
    </w:tbl>
    <w:p>
      <w:pPr>
        <w:spacing w:after="120"/>
      </w:pPr>
    </w:p>
    <w:p>
      <w:pPr>
        <w:spacing w:after="80"/>
        <w:jc w:val="center"/>
      </w:pPr>
      <w:r>
        <w:drawing>
          <wp:inline xmlns:a="http://schemas.openxmlformats.org/drawingml/2006/main" xmlns:pic="http://schemas.openxmlformats.org/drawingml/2006/picture">
            <wp:extent cx="5731510" cy="2961280"/>
            <wp:docPr id="1354702901" name="Picture 1354702901"/>
            <wp:cNvGraphicFramePr>
              <a:graphicFrameLocks noChangeAspect="1"/>
            </wp:cNvGraphicFramePr>
            <a:graphic>
              <a:graphicData uri="http://schemas.openxmlformats.org/drawingml/2006/picture">
                <pic:pic>
                  <pic:nvPicPr>
                    <pic:cNvPr id="0" name="LUPMIS2_Schema_Map.png"/>
                    <pic:cNvPicPr/>
                  </pic:nvPicPr>
                  <pic:blipFill>
                    <a:blip r:embed="rId17"/>
                    <a:stretch>
                      <a:fillRect/>
                    </a:stretch>
                  </pic:blipFill>
                  <pic:spPr>
                    <a:xfrm>
                      <a:off x="0" y="0"/>
                      <a:ext cx="5731510" cy="2961280"/>
                    </a:xfrm>
                    <a:prstGeom prst="rect"/>
                  </pic:spPr>
                </pic:pic>
              </a:graphicData>
            </a:graphic>
          </wp:inline>
        </w:drawing>
      </w:r>
    </w:p>
    <w:p>
      <w:pPr>
        <w:spacing w:after="200"/>
        <w:jc w:val="center"/>
      </w:pPr>
      <w:r>
        <w:rPr>
          <w:b/>
          <w:color w:val="1E1A4B"/>
          <w:sz w:val="18"/>
        </w:rPr>
        <w:t xml:space="preserve">Figure 1. </w:t>
      </w:r>
      <w:r>
        <w:rPr>
          <w:color w:val="6B7280"/>
          <w:sz w:val="18"/>
        </w:rPr>
        <w:t>The four schemas. Each of the other three carries its own name for the district it refers to, and none of those references is enforced by the database.</w:t>
      </w:r>
    </w:p>
    <w:p>
      <w:pPr>
        <w:pStyle w:val="berschrift1"/>
        <w:spacing w:after="120" w:before="280"/>
      </w:pPr>
      <w:r>
        <w:t>3. How the tables relate</w:t>
      </w:r>
    </w:p>
    <w:p>
      <w:pPr>
        <w:spacing w:after="120"/>
      </w:pPr>
      <w:r>
        <w:rPr>
          <w:rFonts w:ascii="Calibri" w:hAnsi="Calibri"/>
          <w:color w:val="333333"/>
          <w:sz w:val="22"/>
        </w:rPr>
        <w:t>The dictionary lists nine foreign keys across the whole database. Every other relationship is a shared value that two tables happen to agree on, with nothing stopping them drifting apart. That distinction matters more than any single table definition, so it is drawn out here.</w:t>
      </w:r>
    </w:p>
    <w:p>
      <w:pPr>
        <w:pStyle w:val="berschrift2"/>
        <w:spacing w:after="80" w:before="200"/>
      </w:pPr>
      <w:r>
        <w:t>3.1 The declared foreign keys</w:t>
      </w:r>
    </w:p>
    <w:tbl>
      <w:tblPr>
        <w:tblW w:type="auto" w:w="0"/>
        <w:jc w:val="left"/>
        <w:tblLayout w:type="fixed"/>
        <w:tblLook w:firstColumn="1" w:firstRow="1" w:lastColumn="0" w:lastRow="0" w:noHBand="0" w:noVBand="1" w:val="04A0"/>
        <w:tblBorders>
          <w:top w:val="single" w:sz="4" w:space="0" w:color="D9D9E3"/>
          <w:left w:val="single" w:sz="4" w:space="0" w:color="D9D9E3"/>
          <w:bottom w:val="single" w:sz="4" w:space="0" w:color="D9D9E3"/>
          <w:right w:val="single" w:sz="4" w:space="0" w:color="D9D9E3"/>
          <w:insideH w:val="single" w:sz="4" w:space="0" w:color="D9D9E3"/>
          <w:insideV w:val="single" w:sz="4" w:space="0" w:color="D9D9E3"/>
        </w:tblBorders>
        <w:tblLayout w:type="fixed"/>
        <w:tblW w:w="9026" w:type="dxa"/>
      </w:tblPr>
      <w:tblGrid>
        <w:gridCol w:w="3118"/>
        <w:gridCol w:w="1543"/>
        <w:gridCol w:w="2598"/>
        <w:gridCol w:w="1766"/>
      </w:tblGrid>
      <w:tr>
        <w:trPr>
          <w:tblHeader/>
          <w:cantSplit/>
        </w:trPr>
        <w:tc>
          <w:tcPr>
            <w:tcW w:type="dxa" w:w="3118"/>
            <w:shd w:val="clear" w:color="auto" w:fill="1E1A4B"/>
          </w:tcPr>
          <w:p>
            <w:pPr>
              <w:spacing w:before="20" w:after="20"/>
            </w:pPr>
            <w:r>
              <w:rPr>
                <w:rFonts w:ascii="Calibri" w:hAnsi="Calibri"/>
                <w:b/>
                <w:color w:val="FFFFFF"/>
                <w:sz w:val="20"/>
              </w:rPr>
              <w:t>Table</w:t>
            </w:r>
          </w:p>
        </w:tc>
        <w:tc>
          <w:tcPr>
            <w:tcW w:type="dxa" w:w="1543"/>
            <w:shd w:val="clear" w:color="auto" w:fill="1E1A4B"/>
          </w:tcPr>
          <w:p>
            <w:pPr>
              <w:spacing w:before="20" w:after="20"/>
            </w:pPr>
            <w:r>
              <w:rPr>
                <w:rFonts w:ascii="Calibri" w:hAnsi="Calibri"/>
                <w:b/>
                <w:color w:val="FFFFFF"/>
                <w:sz w:val="20"/>
              </w:rPr>
              <w:t>Column</w:t>
            </w:r>
          </w:p>
        </w:tc>
        <w:tc>
          <w:tcPr>
            <w:tcW w:type="dxa" w:w="2598"/>
            <w:shd w:val="clear" w:color="auto" w:fill="1E1A4B"/>
          </w:tcPr>
          <w:p>
            <w:pPr>
              <w:spacing w:before="20" w:after="20"/>
            </w:pPr>
            <w:r>
              <w:rPr>
                <w:rFonts w:ascii="Calibri" w:hAnsi="Calibri"/>
                <w:b/>
                <w:color w:val="FFFFFF"/>
                <w:sz w:val="20"/>
              </w:rPr>
              <w:t>References</w:t>
            </w:r>
          </w:p>
        </w:tc>
        <w:tc>
          <w:tcPr>
            <w:tcW w:type="dxa" w:w="1766"/>
            <w:shd w:val="clear" w:color="auto" w:fill="1E1A4B"/>
          </w:tcPr>
          <w:p>
            <w:pPr>
              <w:spacing w:before="20" w:after="20"/>
            </w:pPr>
            <w:r>
              <w:rPr>
                <w:rFonts w:ascii="Calibri" w:hAnsi="Calibri"/>
                <w:b/>
                <w:color w:val="FFFFFF"/>
                <w:sz w:val="20"/>
              </w:rPr>
              <w:t>On delete</w:t>
            </w:r>
          </w:p>
        </w:tc>
      </w:tr>
      <w:tr>
        <w:trPr>
          <w:cantSplit/>
        </w:trPr>
        <w:tc>
          <w:tcPr>
            <w:tcW w:type="dxa" w:w="3118"/>
            <w:shd w:val="clear" w:color="auto" w:fill="FFFFFF"/>
          </w:tcPr>
          <w:p>
            <w:pPr>
              <w:spacing w:before="20" w:after="20"/>
            </w:pPr>
            <w:r>
              <w:rPr>
                <w:rFonts w:ascii="Calibri" w:hAnsi="Calibri"/>
                <w:b/>
                <w:color w:val="333333"/>
                <w:sz w:val="18"/>
              </w:rPr>
              <w:t>permit.application_agents</w:t>
            </w:r>
          </w:p>
        </w:tc>
        <w:tc>
          <w:tcPr>
            <w:tcW w:type="dxa" w:w="1543"/>
            <w:shd w:val="clear" w:color="auto" w:fill="FFFFFF"/>
          </w:tcPr>
          <w:p>
            <w:pPr>
              <w:spacing w:before="20" w:after="20"/>
            </w:pPr>
            <w:r>
              <w:rPr>
                <w:rFonts w:ascii="Calibri" w:hAnsi="Calibri"/>
                <w:b w:val="0"/>
                <w:color w:val="333333"/>
                <w:sz w:val="18"/>
              </w:rPr>
              <w:t>application_id</w:t>
            </w:r>
          </w:p>
        </w:tc>
        <w:tc>
          <w:tcPr>
            <w:tcW w:type="dxa" w:w="2598"/>
            <w:shd w:val="clear" w:color="auto" w:fill="FFFFFF"/>
          </w:tcPr>
          <w:p>
            <w:pPr>
              <w:spacing w:before="20" w:after="20"/>
            </w:pPr>
            <w:r>
              <w:rPr>
                <w:rFonts w:ascii="Calibri" w:hAnsi="Calibri"/>
                <w:b w:val="0"/>
                <w:color w:val="333333"/>
                <w:sz w:val="18"/>
              </w:rPr>
              <w:t>permit.applications.id</w:t>
            </w:r>
          </w:p>
        </w:tc>
        <w:tc>
          <w:tcPr>
            <w:tcW w:type="dxa" w:w="1766"/>
            <w:shd w:val="clear" w:color="auto" w:fill="FFFFFF"/>
          </w:tcPr>
          <w:p>
            <w:pPr>
              <w:spacing w:before="20" w:after="20"/>
            </w:pPr>
            <w:r>
              <w:rPr>
                <w:rFonts w:ascii="Calibri" w:hAnsi="Calibri"/>
                <w:b w:val="0"/>
                <w:color w:val="333333"/>
                <w:sz w:val="18"/>
              </w:rPr>
              <w:t>CASCADE</w:t>
            </w:r>
          </w:p>
        </w:tc>
      </w:tr>
      <w:tr>
        <w:trPr>
          <w:cantSplit/>
        </w:trPr>
        <w:tc>
          <w:tcPr>
            <w:tcW w:type="dxa" w:w="3118"/>
            <w:shd w:val="clear" w:color="auto" w:fill="F0F0F8"/>
          </w:tcPr>
          <w:p>
            <w:pPr>
              <w:spacing w:before="20" w:after="20"/>
            </w:pPr>
            <w:r>
              <w:rPr>
                <w:rFonts w:ascii="Calibri" w:hAnsi="Calibri"/>
                <w:b/>
                <w:color w:val="333333"/>
                <w:sz w:val="18"/>
              </w:rPr>
              <w:t>permit.application_consultants</w:t>
            </w:r>
          </w:p>
        </w:tc>
        <w:tc>
          <w:tcPr>
            <w:tcW w:type="dxa" w:w="1543"/>
            <w:shd w:val="clear" w:color="auto" w:fill="F0F0F8"/>
          </w:tcPr>
          <w:p>
            <w:pPr>
              <w:spacing w:before="20" w:after="20"/>
            </w:pPr>
            <w:r>
              <w:rPr>
                <w:rFonts w:ascii="Calibri" w:hAnsi="Calibri"/>
                <w:b w:val="0"/>
                <w:color w:val="333333"/>
                <w:sz w:val="18"/>
              </w:rPr>
              <w:t>application_id</w:t>
            </w:r>
          </w:p>
        </w:tc>
        <w:tc>
          <w:tcPr>
            <w:tcW w:type="dxa" w:w="2598"/>
            <w:shd w:val="clear" w:color="auto" w:fill="F0F0F8"/>
          </w:tcPr>
          <w:p>
            <w:pPr>
              <w:spacing w:before="20" w:after="20"/>
            </w:pPr>
            <w:r>
              <w:rPr>
                <w:rFonts w:ascii="Calibri" w:hAnsi="Calibri"/>
                <w:b w:val="0"/>
                <w:color w:val="333333"/>
                <w:sz w:val="18"/>
              </w:rPr>
              <w:t>permit.applications.id</w:t>
            </w:r>
          </w:p>
        </w:tc>
        <w:tc>
          <w:tcPr>
            <w:tcW w:type="dxa" w:w="1766"/>
            <w:shd w:val="clear" w:color="auto" w:fill="F0F0F8"/>
          </w:tcPr>
          <w:p>
            <w:pPr>
              <w:spacing w:before="20" w:after="20"/>
            </w:pPr>
            <w:r>
              <w:rPr>
                <w:rFonts w:ascii="Calibri" w:hAnsi="Calibri"/>
                <w:b w:val="0"/>
                <w:color w:val="333333"/>
                <w:sz w:val="18"/>
              </w:rPr>
              <w:t>CASCADE</w:t>
            </w:r>
          </w:p>
        </w:tc>
      </w:tr>
      <w:tr>
        <w:trPr>
          <w:cantSplit/>
        </w:trPr>
        <w:tc>
          <w:tcPr>
            <w:tcW w:type="dxa" w:w="3118"/>
            <w:shd w:val="clear" w:color="auto" w:fill="FFFFFF"/>
          </w:tcPr>
          <w:p>
            <w:pPr>
              <w:spacing w:before="20" w:after="20"/>
            </w:pPr>
            <w:r>
              <w:rPr>
                <w:rFonts w:ascii="Calibri" w:hAnsi="Calibri"/>
                <w:b/>
                <w:color w:val="333333"/>
                <w:sz w:val="18"/>
              </w:rPr>
              <w:t>permit.application_documents</w:t>
            </w:r>
          </w:p>
        </w:tc>
        <w:tc>
          <w:tcPr>
            <w:tcW w:type="dxa" w:w="1543"/>
            <w:shd w:val="clear" w:color="auto" w:fill="FFFFFF"/>
          </w:tcPr>
          <w:p>
            <w:pPr>
              <w:spacing w:before="20" w:after="20"/>
            </w:pPr>
            <w:r>
              <w:rPr>
                <w:rFonts w:ascii="Calibri" w:hAnsi="Calibri"/>
                <w:b w:val="0"/>
                <w:color w:val="333333"/>
                <w:sz w:val="18"/>
              </w:rPr>
              <w:t>application_id</w:t>
            </w:r>
          </w:p>
        </w:tc>
        <w:tc>
          <w:tcPr>
            <w:tcW w:type="dxa" w:w="2598"/>
            <w:shd w:val="clear" w:color="auto" w:fill="FFFFFF"/>
          </w:tcPr>
          <w:p>
            <w:pPr>
              <w:spacing w:before="20" w:after="20"/>
            </w:pPr>
            <w:r>
              <w:rPr>
                <w:rFonts w:ascii="Calibri" w:hAnsi="Calibri"/>
                <w:b w:val="0"/>
                <w:color w:val="333333"/>
                <w:sz w:val="18"/>
              </w:rPr>
              <w:t>permit.applications.id</w:t>
            </w:r>
          </w:p>
        </w:tc>
        <w:tc>
          <w:tcPr>
            <w:tcW w:type="dxa" w:w="1766"/>
            <w:shd w:val="clear" w:color="auto" w:fill="FFFFFF"/>
          </w:tcPr>
          <w:p>
            <w:pPr>
              <w:spacing w:before="20" w:after="20"/>
            </w:pPr>
            <w:r>
              <w:rPr>
                <w:rFonts w:ascii="Calibri" w:hAnsi="Calibri"/>
                <w:b w:val="0"/>
                <w:color w:val="333333"/>
                <w:sz w:val="18"/>
              </w:rPr>
              <w:t>CASCADE</w:t>
            </w:r>
          </w:p>
        </w:tc>
      </w:tr>
      <w:tr>
        <w:trPr>
          <w:cantSplit/>
        </w:trPr>
        <w:tc>
          <w:tcPr>
            <w:tcW w:type="dxa" w:w="3118"/>
            <w:shd w:val="clear" w:color="auto" w:fill="F0F0F8"/>
          </w:tcPr>
          <w:p>
            <w:pPr>
              <w:spacing w:before="20" w:after="20"/>
            </w:pPr>
            <w:r>
              <w:rPr>
                <w:rFonts w:ascii="Calibri" w:hAnsi="Calibri"/>
                <w:b/>
                <w:color w:val="333333"/>
                <w:sz w:val="18"/>
              </w:rPr>
              <w:t>permit.application_status_history</w:t>
            </w:r>
          </w:p>
        </w:tc>
        <w:tc>
          <w:tcPr>
            <w:tcW w:type="dxa" w:w="1543"/>
            <w:shd w:val="clear" w:color="auto" w:fill="F0F0F8"/>
          </w:tcPr>
          <w:p>
            <w:pPr>
              <w:spacing w:before="20" w:after="20"/>
            </w:pPr>
            <w:r>
              <w:rPr>
                <w:rFonts w:ascii="Calibri" w:hAnsi="Calibri"/>
                <w:b w:val="0"/>
                <w:color w:val="333333"/>
                <w:sz w:val="18"/>
              </w:rPr>
              <w:t>application_id</w:t>
            </w:r>
          </w:p>
        </w:tc>
        <w:tc>
          <w:tcPr>
            <w:tcW w:type="dxa" w:w="2598"/>
            <w:shd w:val="clear" w:color="auto" w:fill="F0F0F8"/>
          </w:tcPr>
          <w:p>
            <w:pPr>
              <w:spacing w:before="20" w:after="20"/>
            </w:pPr>
            <w:r>
              <w:rPr>
                <w:rFonts w:ascii="Calibri" w:hAnsi="Calibri"/>
                <w:b w:val="0"/>
                <w:color w:val="333333"/>
                <w:sz w:val="18"/>
              </w:rPr>
              <w:t>permit.applications.id</w:t>
            </w:r>
          </w:p>
        </w:tc>
        <w:tc>
          <w:tcPr>
            <w:tcW w:type="dxa" w:w="1766"/>
            <w:shd w:val="clear" w:color="auto" w:fill="F0F0F8"/>
          </w:tcPr>
          <w:p>
            <w:pPr>
              <w:spacing w:before="20" w:after="20"/>
            </w:pPr>
            <w:r>
              <w:rPr>
                <w:rFonts w:ascii="Calibri" w:hAnsi="Calibri"/>
                <w:b w:val="0"/>
                <w:color w:val="333333"/>
                <w:sz w:val="18"/>
              </w:rPr>
              <w:t>CASCADE</w:t>
            </w:r>
          </w:p>
        </w:tc>
      </w:tr>
      <w:tr>
        <w:trPr>
          <w:cantSplit/>
        </w:trPr>
        <w:tc>
          <w:tcPr>
            <w:tcW w:type="dxa" w:w="3118"/>
            <w:shd w:val="clear" w:color="auto" w:fill="FFFFFF"/>
          </w:tcPr>
          <w:p>
            <w:pPr>
              <w:spacing w:before="20" w:after="20"/>
            </w:pPr>
            <w:r>
              <w:rPr>
                <w:rFonts w:ascii="Calibri" w:hAnsi="Calibri"/>
                <w:b/>
                <w:color w:val="333333"/>
                <w:sz w:val="18"/>
              </w:rPr>
              <w:t>permit.mining_applications</w:t>
            </w:r>
          </w:p>
        </w:tc>
        <w:tc>
          <w:tcPr>
            <w:tcW w:type="dxa" w:w="1543"/>
            <w:shd w:val="clear" w:color="auto" w:fill="FFFFFF"/>
          </w:tcPr>
          <w:p>
            <w:pPr>
              <w:spacing w:before="20" w:after="20"/>
            </w:pPr>
            <w:r>
              <w:rPr>
                <w:rFonts w:ascii="Calibri" w:hAnsi="Calibri"/>
                <w:b w:val="0"/>
                <w:color w:val="333333"/>
                <w:sz w:val="18"/>
              </w:rPr>
              <w:t>application_id</w:t>
            </w:r>
          </w:p>
        </w:tc>
        <w:tc>
          <w:tcPr>
            <w:tcW w:type="dxa" w:w="2598"/>
            <w:shd w:val="clear" w:color="auto" w:fill="FFFFFF"/>
          </w:tcPr>
          <w:p>
            <w:pPr>
              <w:spacing w:before="20" w:after="20"/>
            </w:pPr>
            <w:r>
              <w:rPr>
                <w:rFonts w:ascii="Calibri" w:hAnsi="Calibri"/>
                <w:b w:val="0"/>
                <w:color w:val="333333"/>
                <w:sz w:val="18"/>
              </w:rPr>
              <w:t>permit.applications.id</w:t>
            </w:r>
          </w:p>
        </w:tc>
        <w:tc>
          <w:tcPr>
            <w:tcW w:type="dxa" w:w="1766"/>
            <w:shd w:val="clear" w:color="auto" w:fill="FFFFFF"/>
          </w:tcPr>
          <w:p>
            <w:pPr>
              <w:spacing w:before="20" w:after="20"/>
            </w:pPr>
            <w:r>
              <w:rPr>
                <w:rFonts w:ascii="Calibri" w:hAnsi="Calibri"/>
                <w:b w:val="0"/>
                <w:color w:val="333333"/>
                <w:sz w:val="18"/>
              </w:rPr>
              <w:t>CASCADE</w:t>
            </w:r>
          </w:p>
        </w:tc>
      </w:tr>
      <w:tr>
        <w:trPr>
          <w:cantSplit/>
        </w:trPr>
        <w:tc>
          <w:tcPr>
            <w:tcW w:type="dxa" w:w="3118"/>
            <w:shd w:val="clear" w:color="auto" w:fill="F0F0F8"/>
          </w:tcPr>
          <w:p>
            <w:pPr>
              <w:spacing w:before="20" w:after="20"/>
            </w:pPr>
            <w:r>
              <w:rPr>
                <w:rFonts w:ascii="Calibri" w:hAnsi="Calibri"/>
                <w:b/>
                <w:color w:val="333333"/>
                <w:sz w:val="18"/>
              </w:rPr>
              <w:t>spatial.buildings</w:t>
            </w:r>
          </w:p>
        </w:tc>
        <w:tc>
          <w:tcPr>
            <w:tcW w:type="dxa" w:w="1543"/>
            <w:shd w:val="clear" w:color="auto" w:fill="F0F0F8"/>
          </w:tcPr>
          <w:p>
            <w:pPr>
              <w:spacing w:before="20" w:after="20"/>
            </w:pPr>
            <w:r>
              <w:rPr>
                <w:rFonts w:ascii="Calibri" w:hAnsi="Calibri"/>
                <w:b w:val="0"/>
                <w:color w:val="333333"/>
                <w:sz w:val="18"/>
              </w:rPr>
              <w:t>parcel_id</w:t>
            </w:r>
          </w:p>
        </w:tc>
        <w:tc>
          <w:tcPr>
            <w:tcW w:type="dxa" w:w="2598"/>
            <w:shd w:val="clear" w:color="auto" w:fill="F0F0F8"/>
          </w:tcPr>
          <w:p>
            <w:pPr>
              <w:spacing w:before="20" w:after="20"/>
            </w:pPr>
            <w:r>
              <w:rPr>
                <w:rFonts w:ascii="Calibri" w:hAnsi="Calibri"/>
                <w:b w:val="0"/>
                <w:color w:val="333333"/>
                <w:sz w:val="18"/>
              </w:rPr>
              <w:t>spatial.parcels.id</w:t>
            </w:r>
          </w:p>
        </w:tc>
        <w:tc>
          <w:tcPr>
            <w:tcW w:type="dxa" w:w="1766"/>
            <w:shd w:val="clear" w:color="auto" w:fill="F0F0F8"/>
          </w:tcPr>
          <w:p>
            <w:pPr>
              <w:spacing w:before="20" w:after="20"/>
            </w:pPr>
            <w:r>
              <w:rPr>
                <w:rFonts w:ascii="Calibri" w:hAnsi="Calibri"/>
                <w:b w:val="0"/>
                <w:color w:val="333333"/>
                <w:sz w:val="18"/>
              </w:rPr>
              <w:t>NO ACTION</w:t>
            </w:r>
          </w:p>
        </w:tc>
      </w:tr>
      <w:tr>
        <w:trPr>
          <w:cantSplit/>
        </w:trPr>
        <w:tc>
          <w:tcPr>
            <w:tcW w:type="dxa" w:w="3118"/>
            <w:shd w:val="clear" w:color="auto" w:fill="FFFFFF"/>
          </w:tcPr>
          <w:p>
            <w:pPr>
              <w:spacing w:before="20" w:after="20"/>
            </w:pPr>
            <w:r>
              <w:rPr>
                <w:rFonts w:ascii="Calibri" w:hAnsi="Calibri"/>
                <w:b/>
                <w:color w:val="333333"/>
                <w:sz w:val="18"/>
              </w:rPr>
              <w:t>spatial.pi_buildings</w:t>
            </w:r>
          </w:p>
        </w:tc>
        <w:tc>
          <w:tcPr>
            <w:tcW w:type="dxa" w:w="1543"/>
            <w:shd w:val="clear" w:color="auto" w:fill="FFFFFF"/>
          </w:tcPr>
          <w:p>
            <w:pPr>
              <w:spacing w:before="20" w:after="20"/>
            </w:pPr>
            <w:r>
              <w:rPr>
                <w:rFonts w:ascii="Calibri" w:hAnsi="Calibri"/>
                <w:b w:val="0"/>
                <w:color w:val="333333"/>
                <w:sz w:val="18"/>
              </w:rPr>
              <w:t>parcel_id</w:t>
            </w:r>
          </w:p>
        </w:tc>
        <w:tc>
          <w:tcPr>
            <w:tcW w:type="dxa" w:w="2598"/>
            <w:shd w:val="clear" w:color="auto" w:fill="FFFFFF"/>
          </w:tcPr>
          <w:p>
            <w:pPr>
              <w:spacing w:before="20" w:after="20"/>
            </w:pPr>
            <w:r>
              <w:rPr>
                <w:rFonts w:ascii="Calibri" w:hAnsi="Calibri"/>
                <w:b w:val="0"/>
                <w:color w:val="333333"/>
                <w:sz w:val="18"/>
              </w:rPr>
              <w:t>spatial.parcels.id</w:t>
            </w:r>
          </w:p>
        </w:tc>
        <w:tc>
          <w:tcPr>
            <w:tcW w:type="dxa" w:w="1766"/>
            <w:shd w:val="clear" w:color="auto" w:fill="FFFFFF"/>
          </w:tcPr>
          <w:p>
            <w:pPr>
              <w:spacing w:before="20" w:after="20"/>
            </w:pPr>
            <w:r>
              <w:rPr>
                <w:rFonts w:ascii="Calibri" w:hAnsi="Calibri"/>
                <w:b w:val="0"/>
                <w:color w:val="333333"/>
                <w:sz w:val="18"/>
              </w:rPr>
              <w:t>NO ACTION</w:t>
            </w:r>
          </w:p>
        </w:tc>
      </w:tr>
      <w:tr>
        <w:trPr>
          <w:cantSplit/>
        </w:trPr>
        <w:tc>
          <w:tcPr>
            <w:tcW w:type="dxa" w:w="3118"/>
            <w:shd w:val="clear" w:color="auto" w:fill="F0F0F8"/>
          </w:tcPr>
          <w:p>
            <w:pPr>
              <w:spacing w:before="20" w:after="20"/>
            </w:pPr>
            <w:r>
              <w:rPr>
                <w:rFonts w:ascii="Calibri" w:hAnsi="Calibri"/>
                <w:b/>
                <w:color w:val="333333"/>
                <w:sz w:val="18"/>
              </w:rPr>
              <w:t>spatial.zoning_districts</w:t>
            </w:r>
          </w:p>
        </w:tc>
        <w:tc>
          <w:tcPr>
            <w:tcW w:type="dxa" w:w="1543"/>
            <w:shd w:val="clear" w:color="auto" w:fill="F0F0F8"/>
          </w:tcPr>
          <w:p>
            <w:pPr>
              <w:spacing w:before="20" w:after="20"/>
            </w:pPr>
            <w:r>
              <w:rPr>
                <w:rFonts w:ascii="Calibri" w:hAnsi="Calibri"/>
                <w:b w:val="0"/>
                <w:color w:val="333333"/>
                <w:sz w:val="18"/>
              </w:rPr>
              <w:t>zoning_type_id</w:t>
            </w:r>
          </w:p>
        </w:tc>
        <w:tc>
          <w:tcPr>
            <w:tcW w:type="dxa" w:w="2598"/>
            <w:shd w:val="clear" w:color="auto" w:fill="F0F0F8"/>
          </w:tcPr>
          <w:p>
            <w:pPr>
              <w:spacing w:before="20" w:after="20"/>
            </w:pPr>
            <w:r>
              <w:rPr>
                <w:rFonts w:ascii="Calibri" w:hAnsi="Calibri"/>
                <w:b w:val="0"/>
                <w:color w:val="333333"/>
                <w:sz w:val="18"/>
              </w:rPr>
              <w:t>reference.zoning_types.id</w:t>
            </w:r>
          </w:p>
        </w:tc>
        <w:tc>
          <w:tcPr>
            <w:tcW w:type="dxa" w:w="1766"/>
            <w:shd w:val="clear" w:color="auto" w:fill="F0F0F8"/>
          </w:tcPr>
          <w:p>
            <w:pPr>
              <w:spacing w:before="20" w:after="20"/>
            </w:pPr>
            <w:r>
              <w:rPr>
                <w:rFonts w:ascii="Calibri" w:hAnsi="Calibri"/>
                <w:b w:val="0"/>
                <w:color w:val="333333"/>
                <w:sz w:val="18"/>
              </w:rPr>
              <w:t>NO ACTION</w:t>
            </w:r>
          </w:p>
        </w:tc>
      </w:tr>
    </w:tbl>
    <w:p>
      <w:pPr>
        <w:spacing w:after="120"/>
      </w:pPr>
    </w:p>
    <w:p>
      <w:pPr>
        <w:spacing w:after="80"/>
        <w:jc w:val="center"/>
      </w:pPr>
      <w:r>
        <w:drawing>
          <wp:inline xmlns:a="http://schemas.openxmlformats.org/drawingml/2006/main" xmlns:pic="http://schemas.openxmlformats.org/drawingml/2006/picture">
            <wp:extent cx="5731510" cy="6830049"/>
            <wp:docPr id="1354702902" name="Picture 1354702902"/>
            <wp:cNvGraphicFramePr>
              <a:graphicFrameLocks noChangeAspect="1"/>
            </wp:cNvGraphicFramePr>
            <a:graphic>
              <a:graphicData uri="http://schemas.openxmlformats.org/drawingml/2006/picture">
                <pic:pic>
                  <pic:nvPicPr>
                    <pic:cNvPr id="0" name="LUPMIS2_Schema_ERM.png"/>
                    <pic:cNvPicPr/>
                  </pic:nvPicPr>
                  <pic:blipFill>
                    <a:blip r:embed="rId18"/>
                    <a:stretch>
                      <a:fillRect/>
                    </a:stretch>
                  </pic:blipFill>
                  <pic:spPr>
                    <a:xfrm>
                      <a:off x="0" y="0"/>
                      <a:ext cx="5731510" cy="6830049"/>
                    </a:xfrm>
                    <a:prstGeom prst="rect"/>
                  </pic:spPr>
                </pic:pic>
              </a:graphicData>
            </a:graphic>
          </wp:inline>
        </w:drawing>
      </w:r>
    </w:p>
    <w:p>
      <w:pPr>
        <w:spacing w:after="200"/>
        <w:jc w:val="center"/>
      </w:pPr>
      <w:r>
        <w:rPr>
          <w:b/>
          <w:color w:val="1E1A4B"/>
          <w:sz w:val="18"/>
        </w:rPr>
        <w:t xml:space="preserve">Figure 2. </w:t>
      </w:r>
      <w:r>
        <w:rPr>
          <w:color w:val="6B7280"/>
          <w:sz w:val="18"/>
        </w:rPr>
        <w:t>Relationships by schema. Solid arrows are foreign keys the database enforces; dashed arrows are joins that exist only by agreement.</w:t>
      </w:r>
    </w:p>
    <w:p>
      <w:pPr>
        <w:pStyle w:val="berschrift2"/>
        <w:spacing w:after="80" w:before="200"/>
      </w:pPr>
      <w:r>
        <w:t>3.2 What the picture shows</w:t>
      </w:r>
    </w:p>
    <w:p>
      <w:pPr>
        <w:spacing w:after="60"/>
        <w:ind w:left="360"/>
      </w:pPr>
      <w:r>
        <w:rPr>
          <w:rFonts w:ascii="Calibri" w:hAnsi="Calibri"/>
          <w:b/>
          <w:color w:val="333333"/>
          <w:sz w:val="22"/>
        </w:rPr>
        <w:t xml:space="preserve">— permit is the only schema with referential integrity. </w:t>
      </w:r>
      <w:r>
        <w:rPr>
          <w:rFonts w:ascii="Calibri" w:hAnsi="Calibri"/>
          <w:b w:val="0"/>
          <w:color w:val="333333"/>
          <w:sz w:val="22"/>
        </w:rPr>
        <w:t>Five child tables cascade from applications, so deleting an application cannot leave orphaned agents, consultants, documents or history behind. Comments and stages are the exception: they join on the application_code text rather than the id, and are not covered by a constraint.</w:t>
      </w:r>
    </w:p>
    <w:p>
      <w:pPr>
        <w:spacing w:after="60"/>
        <w:ind w:left="360"/>
      </w:pPr>
      <w:r>
        <w:rPr>
          <w:rFonts w:ascii="Calibri" w:hAnsi="Calibri"/>
          <w:b/>
          <w:color w:val="333333"/>
          <w:sz w:val="22"/>
        </w:rPr>
        <w:t xml:space="preserve">— dataroom's versioning chain is held together by uuid alone. </w:t>
      </w:r>
      <w:r>
        <w:rPr>
          <w:rFonts w:ascii="Calibri" w:hAnsi="Calibri"/>
          <w:b w:val="0"/>
          <w:color w:val="333333"/>
          <w:sz w:val="22"/>
        </w:rPr>
        <w:t>datasets, dataset_versions, dataset_resources and downloads form a clean chain, but nothing in the database enforces it. The unique constraints on dataset_versions do guard against two versions claiming the same number.</w:t>
      </w:r>
    </w:p>
    <w:p>
      <w:pPr>
        <w:spacing w:after="60"/>
        <w:ind w:left="360"/>
      </w:pPr>
      <w:r>
        <w:rPr>
          <w:rFonts w:ascii="Calibri" w:hAnsi="Calibri"/>
          <w:b/>
          <w:color w:val="333333"/>
          <w:sz w:val="22"/>
        </w:rPr>
        <w:t xml:space="preserve">— spatial is held together by districtid. </w:t>
      </w:r>
      <w:r>
        <w:rPr>
          <w:rFonts w:ascii="Calibri" w:hAnsi="Calibri"/>
          <w:b w:val="0"/>
          <w:color w:val="333333"/>
          <w:sz w:val="22"/>
        </w:rPr>
        <w:t>The administrative hierarchy runs region to district to collector zone, and almost every other table carries the district it belongs to. Parcels are keyed by UPN, issued from gh_upn_grid, and field uploads reach lu_parcels through the staging table rather than directly.</w:t>
      </w:r>
    </w:p>
    <w:p>
      <w:pPr>
        <w:spacing w:after="60"/>
        <w:ind w:left="360"/>
      </w:pPr>
      <w:r>
        <w:rPr>
          <w:rFonts w:ascii="Calibri" w:hAnsi="Calibri"/>
          <w:b/>
          <w:color w:val="333333"/>
          <w:sz w:val="22"/>
        </w:rPr>
        <w:t xml:space="preserve">— The two enforced keys in spatial point at the wrong parcel table. </w:t>
      </w:r>
      <w:r>
        <w:rPr>
          <w:rFonts w:ascii="Calibri" w:hAnsi="Calibri"/>
          <w:b w:val="0"/>
          <w:color w:val="333333"/>
          <w:sz w:val="22"/>
        </w:rPr>
        <w:t>buildings and pi_buildings both reference spatial.parcels — the legacy table described in section 9 — not the live lu_parcels. Worth checking before either building table is relied on.</w:t>
      </w:r>
    </w:p>
    <w:tbl>
      <w:tblPr>
        <w:tblW w:type="auto" w:w="0"/>
        <w:tblLayout w:type="fixed"/>
        <w:tblLook w:firstColumn="1" w:firstRow="1" w:lastColumn="0" w:lastRow="0" w:noHBand="0" w:noVBand="1" w:val="04A0"/>
        <w:tblBorders>
          <w:top w:val="single" w:sz="4" w:space="0" w:color="D9D9E3"/>
          <w:left w:val="single" w:sz="4" w:space="0" w:color="D9D9E3"/>
          <w:bottom w:val="single" w:sz="4" w:space="0" w:color="D9D9E3"/>
          <w:right w:val="single" w:sz="4" w:space="0" w:color="D9D9E3"/>
          <w:insideH w:val="single" w:sz="4" w:space="0" w:color="D9D9E3"/>
          <w:insideV w:val="single" w:sz="4" w:space="0" w:color="D9D9E3"/>
        </w:tblBorders>
        <w:tblLayout w:type="fixed"/>
        <w:tblW w:w="9026" w:type="dxa"/>
      </w:tblPr>
      <w:tblGrid>
        <w:gridCol w:w="9026"/>
      </w:tblGrid>
      <w:tr>
        <w:tc>
          <w:tcPr>
            <w:tcW w:type="dxa" w:w="9026"/>
            <w:shd w:val="clear" w:color="auto" w:fill="EEF2FF"/>
          </w:tcPr>
          <w:p>
            <w:pPr>
              <w:spacing w:before="60" w:after="60"/>
            </w:pPr>
            <w:r>
              <w:rPr>
                <w:rFonts w:ascii="Calibri" w:hAnsi="Calibri"/>
                <w:b/>
                <w:color w:val="1E1A4B"/>
                <w:sz w:val="21"/>
              </w:rPr>
              <w:t xml:space="preserve">One reference leaves the documented database. </w:t>
            </w:r>
            <w:r>
              <w:rPr>
                <w:rFonts w:ascii="Calibri" w:hAnsi="Calibri"/>
                <w:b w:val="0"/>
                <w:color w:val="1E1A4B"/>
                <w:sz w:val="21"/>
              </w:rPr>
              <w:t>spatial.zoning_districts.zoning_type_id points at reference.zoning_types, in a schema the dictionary does not cover. Either the reference schema should be included in the next generated dictionary, or the constraint is left over from an earlier arrangement and should be removed.</w:t>
            </w:r>
          </w:p>
        </w:tc>
      </w:tr>
    </w:tbl>
    <w:p>
      <w:pPr>
        <w:spacing w:after="120"/>
      </w:pPr>
    </w:p>
    <w:p>
      <w:pPr>
        <w:pStyle w:val="berschrift1"/>
        <w:spacing w:after="120" w:before="280"/>
      </w:pPr>
      <w:r>
        <w:t>4. Naming conventions</w:t>
      </w:r>
    </w:p>
    <w:p>
      <w:pPr>
        <w:spacing w:after="120"/>
      </w:pPr>
      <w:r>
        <w:rPr>
          <w:rFonts w:ascii="Calibri" w:hAnsi="Calibri"/>
          <w:color w:val="333333"/>
          <w:sz w:val="22"/>
        </w:rPr>
        <w:t>Table names in the spatial schema carry a prefix that says which thematic group the data belongs to. The prefixes are not decoration: they correspond to the layer groups the officer sees in the application's layer switcher, which are themselves defined in the lay_layers table. Reading the prefix tells you where a table's contents will appear on the map.</w:t>
      </w:r>
    </w:p>
    <w:p>
      <w:pPr>
        <w:pStyle w:val="berschrift2"/>
        <w:spacing w:after="80" w:before="200"/>
      </w:pPr>
      <w:r>
        <w:t>4.1 Table prefixes</w:t>
      </w:r>
    </w:p>
    <w:tbl>
      <w:tblPr>
        <w:tblW w:type="auto" w:w="0"/>
        <w:jc w:val="left"/>
        <w:tblLayout w:type="fixed"/>
        <w:tblLook w:firstColumn="1" w:firstRow="1" w:lastColumn="0" w:lastRow="0" w:noHBand="0" w:noVBand="1" w:val="04A0"/>
        <w:tblBorders>
          <w:top w:val="single" w:sz="4" w:space="0" w:color="D9D9E3"/>
          <w:left w:val="single" w:sz="4" w:space="0" w:color="D9D9E3"/>
          <w:bottom w:val="single" w:sz="4" w:space="0" w:color="D9D9E3"/>
          <w:right w:val="single" w:sz="4" w:space="0" w:color="D9D9E3"/>
          <w:insideH w:val="single" w:sz="4" w:space="0" w:color="D9D9E3"/>
          <w:insideV w:val="single" w:sz="4" w:space="0" w:color="D9D9E3"/>
        </w:tblBorders>
        <w:tblLayout w:type="fixed"/>
        <w:tblW w:w="9026" w:type="dxa"/>
      </w:tblPr>
      <w:tblGrid>
        <w:gridCol w:w="1102"/>
        <w:gridCol w:w="2362"/>
        <w:gridCol w:w="2362"/>
        <w:gridCol w:w="3199"/>
      </w:tblGrid>
      <w:tr>
        <w:trPr>
          <w:tblHeader/>
          <w:cantSplit/>
        </w:trPr>
        <w:tc>
          <w:tcPr>
            <w:tcW w:type="dxa" w:w="1102"/>
            <w:shd w:val="clear" w:color="auto" w:fill="1E1A4B"/>
          </w:tcPr>
          <w:p>
            <w:pPr>
              <w:spacing w:before="20" w:after="20"/>
            </w:pPr>
            <w:r>
              <w:rPr>
                <w:rFonts w:ascii="Calibri" w:hAnsi="Calibri"/>
                <w:b/>
                <w:color w:val="FFFFFF"/>
                <w:sz w:val="20"/>
              </w:rPr>
              <w:t>Prefix</w:t>
            </w:r>
          </w:p>
        </w:tc>
        <w:tc>
          <w:tcPr>
            <w:tcW w:type="dxa" w:w="2362"/>
            <w:shd w:val="clear" w:color="auto" w:fill="1E1A4B"/>
          </w:tcPr>
          <w:p>
            <w:pPr>
              <w:spacing w:before="20" w:after="20"/>
            </w:pPr>
            <w:r>
              <w:rPr>
                <w:rFonts w:ascii="Calibri" w:hAnsi="Calibri"/>
                <w:b/>
                <w:color w:val="FFFFFF"/>
                <w:sz w:val="20"/>
              </w:rPr>
              <w:t>Meaning</w:t>
            </w:r>
          </w:p>
        </w:tc>
        <w:tc>
          <w:tcPr>
            <w:tcW w:type="dxa" w:w="2362"/>
            <w:shd w:val="clear" w:color="auto" w:fill="1E1A4B"/>
          </w:tcPr>
          <w:p>
            <w:pPr>
              <w:spacing w:before="20" w:after="20"/>
            </w:pPr>
            <w:r>
              <w:rPr>
                <w:rFonts w:ascii="Calibri" w:hAnsi="Calibri"/>
                <w:b/>
                <w:color w:val="FFFFFF"/>
                <w:sz w:val="20"/>
              </w:rPr>
              <w:t>Where it appears in the app</w:t>
            </w:r>
          </w:p>
        </w:tc>
        <w:tc>
          <w:tcPr>
            <w:tcW w:type="dxa" w:w="3199"/>
            <w:shd w:val="clear" w:color="auto" w:fill="1E1A4B"/>
          </w:tcPr>
          <w:p>
            <w:pPr>
              <w:spacing w:before="20" w:after="20"/>
            </w:pPr>
            <w:r>
              <w:rPr>
                <w:rFonts w:ascii="Calibri" w:hAnsi="Calibri"/>
                <w:b/>
                <w:color w:val="FFFFFF"/>
                <w:sz w:val="20"/>
              </w:rPr>
              <w:t>Examples</w:t>
            </w:r>
          </w:p>
        </w:tc>
      </w:tr>
      <w:tr>
        <w:trPr>
          <w:cantSplit/>
        </w:trPr>
        <w:tc>
          <w:tcPr>
            <w:tcW w:type="dxa" w:w="1102"/>
            <w:shd w:val="clear" w:color="auto" w:fill="FFFFFF"/>
          </w:tcPr>
          <w:p>
            <w:pPr>
              <w:spacing w:before="20" w:after="20"/>
            </w:pPr>
            <w:r>
              <w:rPr>
                <w:rFonts w:ascii="Calibri" w:hAnsi="Calibri"/>
                <w:b/>
                <w:color w:val="333333"/>
                <w:sz w:val="18"/>
              </w:rPr>
              <w:t>area_</w:t>
            </w:r>
          </w:p>
        </w:tc>
        <w:tc>
          <w:tcPr>
            <w:tcW w:type="dxa" w:w="2362"/>
            <w:shd w:val="clear" w:color="auto" w:fill="FFFFFF"/>
          </w:tcPr>
          <w:p>
            <w:pPr>
              <w:spacing w:before="20" w:after="20"/>
            </w:pPr>
            <w:r>
              <w:rPr>
                <w:rFonts w:ascii="Calibri" w:hAnsi="Calibri"/>
                <w:b w:val="0"/>
                <w:color w:val="333333"/>
                <w:sz w:val="18"/>
              </w:rPr>
              <w:t>Administrative boundaries — the nested hierarchy from country down to collector zone</w:t>
            </w:r>
          </w:p>
        </w:tc>
        <w:tc>
          <w:tcPr>
            <w:tcW w:type="dxa" w:w="2362"/>
            <w:shd w:val="clear" w:color="auto" w:fill="FFFFFF"/>
          </w:tcPr>
          <w:p>
            <w:pPr>
              <w:spacing w:before="20" w:after="20"/>
            </w:pPr>
            <w:r>
              <w:rPr>
                <w:rFonts w:ascii="Calibri" w:hAnsi="Calibri"/>
                <w:b w:val="0"/>
                <w:color w:val="333333"/>
                <w:sz w:val="18"/>
              </w:rPr>
              <w:t>Administration group</w:t>
            </w:r>
          </w:p>
        </w:tc>
        <w:tc>
          <w:tcPr>
            <w:tcW w:type="dxa" w:w="3199"/>
            <w:shd w:val="clear" w:color="auto" w:fill="FFFFFF"/>
          </w:tcPr>
          <w:p>
            <w:pPr>
              <w:spacing w:before="20" w:after="20"/>
            </w:pPr>
            <w:r>
              <w:rPr>
                <w:rFonts w:ascii="Calibri" w:hAnsi="Calibri"/>
                <w:b w:val="0"/>
                <w:color w:val="333333"/>
                <w:sz w:val="18"/>
              </w:rPr>
              <w:t>area_ghana, area_region, area_districts, area_collectorzones, area_gra</w:t>
            </w:r>
          </w:p>
        </w:tc>
      </w:tr>
      <w:tr>
        <w:trPr>
          <w:cantSplit/>
        </w:trPr>
        <w:tc>
          <w:tcPr>
            <w:tcW w:type="dxa" w:w="1102"/>
            <w:shd w:val="clear" w:color="auto" w:fill="F0F0F8"/>
          </w:tcPr>
          <w:p>
            <w:pPr>
              <w:spacing w:before="20" w:after="20"/>
            </w:pPr>
            <w:r>
              <w:rPr>
                <w:rFonts w:ascii="Calibri" w:hAnsi="Calibri"/>
                <w:b/>
                <w:color w:val="333333"/>
                <w:sz w:val="18"/>
              </w:rPr>
              <w:t>lu_</w:t>
            </w:r>
          </w:p>
        </w:tc>
        <w:tc>
          <w:tcPr>
            <w:tcW w:type="dxa" w:w="2362"/>
            <w:shd w:val="clear" w:color="auto" w:fill="F0F0F8"/>
          </w:tcPr>
          <w:p>
            <w:pPr>
              <w:spacing w:before="20" w:after="20"/>
            </w:pPr>
            <w:r>
              <w:rPr>
                <w:rFonts w:ascii="Calibri" w:hAnsi="Calibri"/>
                <w:b w:val="0"/>
                <w:color w:val="333333"/>
                <w:sz w:val="18"/>
              </w:rPr>
              <w:t>Land use — parcels and what is on them</w:t>
            </w:r>
          </w:p>
        </w:tc>
        <w:tc>
          <w:tcPr>
            <w:tcW w:type="dxa" w:w="2362"/>
            <w:shd w:val="clear" w:color="auto" w:fill="F0F0F8"/>
          </w:tcPr>
          <w:p>
            <w:pPr>
              <w:spacing w:before="20" w:after="20"/>
            </w:pPr>
            <w:r>
              <w:rPr>
                <w:rFonts w:ascii="Calibri" w:hAnsi="Calibri"/>
                <w:b w:val="0"/>
                <w:color w:val="333333"/>
                <w:sz w:val="18"/>
              </w:rPr>
              <w:t>Land Use group</w:t>
            </w:r>
          </w:p>
        </w:tc>
        <w:tc>
          <w:tcPr>
            <w:tcW w:type="dxa" w:w="3199"/>
            <w:shd w:val="clear" w:color="auto" w:fill="F0F0F8"/>
          </w:tcPr>
          <w:p>
            <w:pPr>
              <w:spacing w:before="20" w:after="20"/>
            </w:pPr>
            <w:r>
              <w:rPr>
                <w:rFonts w:ascii="Calibri" w:hAnsi="Calibri"/>
                <w:b w:val="0"/>
                <w:color w:val="333333"/>
                <w:sz w:val="18"/>
              </w:rPr>
              <w:t>lu_parcels, lu_buildings, lu_agric</w:t>
            </w:r>
          </w:p>
        </w:tc>
      </w:tr>
      <w:tr>
        <w:trPr>
          <w:cantSplit/>
        </w:trPr>
        <w:tc>
          <w:tcPr>
            <w:tcW w:type="dxa" w:w="1102"/>
            <w:shd w:val="clear" w:color="auto" w:fill="FFFFFF"/>
          </w:tcPr>
          <w:p>
            <w:pPr>
              <w:spacing w:before="20" w:after="20"/>
            </w:pPr>
            <w:r>
              <w:rPr>
                <w:rFonts w:ascii="Calibri" w:hAnsi="Calibri"/>
                <w:b/>
                <w:color w:val="333333"/>
                <w:sz w:val="18"/>
              </w:rPr>
              <w:t>pi_</w:t>
            </w:r>
          </w:p>
        </w:tc>
        <w:tc>
          <w:tcPr>
            <w:tcW w:type="dxa" w:w="2362"/>
            <w:shd w:val="clear" w:color="auto" w:fill="FFFFFF"/>
          </w:tcPr>
          <w:p>
            <w:pPr>
              <w:spacing w:before="20" w:after="20"/>
            </w:pPr>
            <w:r>
              <w:rPr>
                <w:rFonts w:ascii="Calibri" w:hAnsi="Calibri"/>
                <w:b w:val="0"/>
                <w:color w:val="333333"/>
                <w:sz w:val="18"/>
              </w:rPr>
              <w:t>Physical infrastructure — the built network</w:t>
            </w:r>
          </w:p>
        </w:tc>
        <w:tc>
          <w:tcPr>
            <w:tcW w:type="dxa" w:w="2362"/>
            <w:shd w:val="clear" w:color="auto" w:fill="FFFFFF"/>
          </w:tcPr>
          <w:p>
            <w:pPr>
              <w:spacing w:before="20" w:after="20"/>
            </w:pPr>
            <w:r>
              <w:rPr>
                <w:rFonts w:ascii="Calibri" w:hAnsi="Calibri"/>
                <w:b w:val="0"/>
                <w:color w:val="333333"/>
                <w:sz w:val="18"/>
              </w:rPr>
              <w:t>Physical Infrastructure group</w:t>
            </w:r>
          </w:p>
        </w:tc>
        <w:tc>
          <w:tcPr>
            <w:tcW w:type="dxa" w:w="3199"/>
            <w:shd w:val="clear" w:color="auto" w:fill="FFFFFF"/>
          </w:tcPr>
          <w:p>
            <w:pPr>
              <w:spacing w:before="20" w:after="20"/>
            </w:pPr>
            <w:r>
              <w:rPr>
                <w:rFonts w:ascii="Calibri" w:hAnsi="Calibri"/>
                <w:b w:val="0"/>
                <w:color w:val="333333"/>
                <w:sz w:val="18"/>
              </w:rPr>
              <w:t>pi_osm_roads, pi_buildings</w:t>
            </w:r>
          </w:p>
        </w:tc>
      </w:tr>
      <w:tr>
        <w:trPr>
          <w:cantSplit/>
        </w:trPr>
        <w:tc>
          <w:tcPr>
            <w:tcW w:type="dxa" w:w="1102"/>
            <w:shd w:val="clear" w:color="auto" w:fill="F0F0F8"/>
          </w:tcPr>
          <w:p>
            <w:pPr>
              <w:spacing w:before="20" w:after="20"/>
            </w:pPr>
            <w:r>
              <w:rPr>
                <w:rFonts w:ascii="Calibri" w:hAnsi="Calibri"/>
                <w:b/>
                <w:color w:val="333333"/>
                <w:sz w:val="18"/>
              </w:rPr>
              <w:t>be_</w:t>
            </w:r>
          </w:p>
        </w:tc>
        <w:tc>
          <w:tcPr>
            <w:tcW w:type="dxa" w:w="2362"/>
            <w:shd w:val="clear" w:color="auto" w:fill="F0F0F8"/>
          </w:tcPr>
          <w:p>
            <w:pPr>
              <w:spacing w:before="20" w:after="20"/>
            </w:pPr>
            <w:r>
              <w:rPr>
                <w:rFonts w:ascii="Calibri" w:hAnsi="Calibri"/>
                <w:b w:val="0"/>
                <w:color w:val="333333"/>
                <w:sz w:val="18"/>
              </w:rPr>
              <w:t>Biophysical environment — terrain and natural features</w:t>
            </w:r>
          </w:p>
        </w:tc>
        <w:tc>
          <w:tcPr>
            <w:tcW w:type="dxa" w:w="2362"/>
            <w:shd w:val="clear" w:color="auto" w:fill="F0F0F8"/>
          </w:tcPr>
          <w:p>
            <w:pPr>
              <w:spacing w:before="20" w:after="20"/>
            </w:pPr>
            <w:r>
              <w:rPr>
                <w:rFonts w:ascii="Calibri" w:hAnsi="Calibri"/>
                <w:b w:val="0"/>
                <w:color w:val="333333"/>
                <w:sz w:val="18"/>
              </w:rPr>
              <w:t>Biophysical Environment group</w:t>
            </w:r>
          </w:p>
        </w:tc>
        <w:tc>
          <w:tcPr>
            <w:tcW w:type="dxa" w:w="3199"/>
            <w:shd w:val="clear" w:color="auto" w:fill="F0F0F8"/>
          </w:tcPr>
          <w:p>
            <w:pPr>
              <w:spacing w:before="20" w:after="20"/>
            </w:pPr>
            <w:r>
              <w:rPr>
                <w:rFonts w:ascii="Calibri" w:hAnsi="Calibri"/>
                <w:b w:val="0"/>
                <w:color w:val="333333"/>
                <w:sz w:val="18"/>
              </w:rPr>
              <w:t>be_contours_hillshade</w:t>
            </w:r>
          </w:p>
        </w:tc>
      </w:tr>
      <w:tr>
        <w:trPr>
          <w:cantSplit/>
        </w:trPr>
        <w:tc>
          <w:tcPr>
            <w:tcW w:type="dxa" w:w="1102"/>
            <w:shd w:val="clear" w:color="auto" w:fill="FFFFFF"/>
          </w:tcPr>
          <w:p>
            <w:pPr>
              <w:spacing w:before="20" w:after="20"/>
            </w:pPr>
            <w:r>
              <w:rPr>
                <w:rFonts w:ascii="Calibri" w:hAnsi="Calibri"/>
                <w:b/>
                <w:color w:val="333333"/>
                <w:sz w:val="18"/>
              </w:rPr>
              <w:t>scs_</w:t>
            </w:r>
          </w:p>
        </w:tc>
        <w:tc>
          <w:tcPr>
            <w:tcW w:type="dxa" w:w="2362"/>
            <w:shd w:val="clear" w:color="auto" w:fill="FFFFFF"/>
          </w:tcPr>
          <w:p>
            <w:pPr>
              <w:spacing w:before="20" w:after="20"/>
            </w:pPr>
            <w:r>
              <w:rPr>
                <w:rFonts w:ascii="Calibri" w:hAnsi="Calibri"/>
                <w:b w:val="0"/>
                <w:color w:val="333333"/>
                <w:sz w:val="18"/>
              </w:rPr>
              <w:t>Social and community services — schools, clinics and other public facilities</w:t>
            </w:r>
          </w:p>
        </w:tc>
        <w:tc>
          <w:tcPr>
            <w:tcW w:type="dxa" w:w="2362"/>
            <w:shd w:val="clear" w:color="auto" w:fill="FFFFFF"/>
          </w:tcPr>
          <w:p>
            <w:pPr>
              <w:spacing w:before="20" w:after="20"/>
            </w:pPr>
            <w:r>
              <w:rPr>
                <w:rFonts w:ascii="Calibri" w:hAnsi="Calibri"/>
                <w:b w:val="0"/>
                <w:color w:val="333333"/>
                <w:sz w:val="18"/>
              </w:rPr>
              <w:t>Facilities layers</w:t>
            </w:r>
          </w:p>
        </w:tc>
        <w:tc>
          <w:tcPr>
            <w:tcW w:type="dxa" w:w="3199"/>
            <w:shd w:val="clear" w:color="auto" w:fill="FFFFFF"/>
          </w:tcPr>
          <w:p>
            <w:pPr>
              <w:spacing w:before="20" w:after="20"/>
            </w:pPr>
            <w:r>
              <w:rPr>
                <w:rFonts w:ascii="Calibri" w:hAnsi="Calibri"/>
                <w:b w:val="0"/>
                <w:color w:val="333333"/>
                <w:sz w:val="18"/>
              </w:rPr>
              <w:t>scs_facilities, scs_fac_education, scs_fac_health</w:t>
            </w:r>
          </w:p>
        </w:tc>
      </w:tr>
      <w:tr>
        <w:trPr>
          <w:cantSplit/>
        </w:trPr>
        <w:tc>
          <w:tcPr>
            <w:tcW w:type="dxa" w:w="1102"/>
            <w:shd w:val="clear" w:color="auto" w:fill="F0F0F8"/>
          </w:tcPr>
          <w:p>
            <w:pPr>
              <w:spacing w:before="20" w:after="20"/>
            </w:pPr>
            <w:r>
              <w:rPr>
                <w:rFonts w:ascii="Calibri" w:hAnsi="Calibri"/>
                <w:b/>
                <w:color w:val="333333"/>
                <w:sz w:val="18"/>
              </w:rPr>
              <w:t>hlp_</w:t>
            </w:r>
          </w:p>
        </w:tc>
        <w:tc>
          <w:tcPr>
            <w:tcW w:type="dxa" w:w="2362"/>
            <w:shd w:val="clear" w:color="auto" w:fill="F0F0F8"/>
          </w:tcPr>
          <w:p>
            <w:pPr>
              <w:spacing w:before="20" w:after="20"/>
            </w:pPr>
            <w:r>
              <w:rPr>
                <w:rFonts w:ascii="Calibri" w:hAnsi="Calibri"/>
                <w:b w:val="0"/>
                <w:color w:val="333333"/>
                <w:sz w:val="18"/>
              </w:rPr>
              <w:t>Helper and lookup tables — reference values, not map data</w:t>
            </w:r>
          </w:p>
        </w:tc>
        <w:tc>
          <w:tcPr>
            <w:tcW w:type="dxa" w:w="2362"/>
            <w:shd w:val="clear" w:color="auto" w:fill="F0F0F8"/>
          </w:tcPr>
          <w:p>
            <w:pPr>
              <w:spacing w:before="20" w:after="20"/>
            </w:pPr>
            <w:r>
              <w:rPr>
                <w:rFonts w:ascii="Calibri" w:hAnsi="Calibri"/>
                <w:b w:val="0"/>
                <w:color w:val="333333"/>
                <w:sz w:val="18"/>
              </w:rPr>
              <w:t>Not shown as a layer</w:t>
            </w:r>
          </w:p>
        </w:tc>
        <w:tc>
          <w:tcPr>
            <w:tcW w:type="dxa" w:w="3199"/>
            <w:shd w:val="clear" w:color="auto" w:fill="F0F0F8"/>
          </w:tcPr>
          <w:p>
            <w:pPr>
              <w:spacing w:before="20" w:after="20"/>
            </w:pPr>
            <w:r>
              <w:rPr>
                <w:rFonts w:ascii="Calibri" w:hAnsi="Calibri"/>
                <w:b w:val="0"/>
                <w:color w:val="333333"/>
                <w:sz w:val="18"/>
              </w:rPr>
              <w:t>hlp_broad_lu_colours</w:t>
            </w:r>
          </w:p>
        </w:tc>
      </w:tr>
      <w:tr>
        <w:trPr>
          <w:cantSplit/>
        </w:trPr>
        <w:tc>
          <w:tcPr>
            <w:tcW w:type="dxa" w:w="1102"/>
            <w:shd w:val="clear" w:color="auto" w:fill="FFFFFF"/>
          </w:tcPr>
          <w:p>
            <w:pPr>
              <w:spacing w:before="20" w:after="20"/>
            </w:pPr>
            <w:r>
              <w:rPr>
                <w:rFonts w:ascii="Calibri" w:hAnsi="Calibri"/>
                <w:b/>
                <w:color w:val="333333"/>
                <w:sz w:val="18"/>
              </w:rPr>
              <w:t>lay_</w:t>
            </w:r>
          </w:p>
        </w:tc>
        <w:tc>
          <w:tcPr>
            <w:tcW w:type="dxa" w:w="2362"/>
            <w:shd w:val="clear" w:color="auto" w:fill="FFFFFF"/>
          </w:tcPr>
          <w:p>
            <w:pPr>
              <w:spacing w:before="20" w:after="20"/>
            </w:pPr>
            <w:r>
              <w:rPr>
                <w:rFonts w:ascii="Calibri" w:hAnsi="Calibri"/>
                <w:b w:val="0"/>
                <w:color w:val="333333"/>
                <w:sz w:val="18"/>
              </w:rPr>
              <w:t>Layer registry — defines the groups themselves</w:t>
            </w:r>
          </w:p>
        </w:tc>
        <w:tc>
          <w:tcPr>
            <w:tcW w:type="dxa" w:w="2362"/>
            <w:shd w:val="clear" w:color="auto" w:fill="FFFFFF"/>
          </w:tcPr>
          <w:p>
            <w:pPr>
              <w:spacing w:before="20" w:after="20"/>
            </w:pPr>
            <w:r>
              <w:rPr>
                <w:rFonts w:ascii="Calibri" w:hAnsi="Calibri"/>
                <w:b w:val="0"/>
                <w:color w:val="333333"/>
                <w:sz w:val="18"/>
              </w:rPr>
              <w:t>Drives the layer switcher</w:t>
            </w:r>
          </w:p>
        </w:tc>
        <w:tc>
          <w:tcPr>
            <w:tcW w:type="dxa" w:w="3199"/>
            <w:shd w:val="clear" w:color="auto" w:fill="FFFFFF"/>
          </w:tcPr>
          <w:p>
            <w:pPr>
              <w:spacing w:before="20" w:after="20"/>
            </w:pPr>
            <w:r>
              <w:rPr>
                <w:rFonts w:ascii="Calibri" w:hAnsi="Calibri"/>
                <w:b w:val="0"/>
                <w:color w:val="333333"/>
                <w:sz w:val="18"/>
              </w:rPr>
              <w:t>lay_layers</w:t>
            </w:r>
          </w:p>
        </w:tc>
      </w:tr>
      <w:tr>
        <w:trPr>
          <w:cantSplit/>
        </w:trPr>
        <w:tc>
          <w:tcPr>
            <w:tcW w:type="dxa" w:w="1102"/>
            <w:shd w:val="clear" w:color="auto" w:fill="F0F0F8"/>
          </w:tcPr>
          <w:p>
            <w:pPr>
              <w:spacing w:before="20" w:after="20"/>
            </w:pPr>
            <w:r>
              <w:rPr>
                <w:rFonts w:ascii="Calibri" w:hAnsi="Calibri"/>
                <w:b/>
                <w:color w:val="333333"/>
                <w:sz w:val="18"/>
              </w:rPr>
              <w:t>gh_</w:t>
            </w:r>
          </w:p>
        </w:tc>
        <w:tc>
          <w:tcPr>
            <w:tcW w:type="dxa" w:w="2362"/>
            <w:shd w:val="clear" w:color="auto" w:fill="F0F0F8"/>
          </w:tcPr>
          <w:p>
            <w:pPr>
              <w:spacing w:before="20" w:after="20"/>
            </w:pPr>
            <w:r>
              <w:rPr>
                <w:rFonts w:ascii="Calibri" w:hAnsi="Calibri"/>
                <w:b w:val="0"/>
                <w:color w:val="333333"/>
                <w:sz w:val="18"/>
              </w:rPr>
              <w:t>Ghana-wide reference data, not scoped to one district</w:t>
            </w:r>
          </w:p>
        </w:tc>
        <w:tc>
          <w:tcPr>
            <w:tcW w:type="dxa" w:w="2362"/>
            <w:shd w:val="clear" w:color="auto" w:fill="F0F0F8"/>
          </w:tcPr>
          <w:p>
            <w:pPr>
              <w:spacing w:before="20" w:after="20"/>
            </w:pPr>
            <w:r>
              <w:rPr>
                <w:rFonts w:ascii="Calibri" w:hAnsi="Calibri"/>
                <w:b w:val="0"/>
                <w:color w:val="333333"/>
                <w:sz w:val="18"/>
              </w:rPr>
              <w:t>Administration group</w:t>
            </w:r>
          </w:p>
        </w:tc>
        <w:tc>
          <w:tcPr>
            <w:tcW w:type="dxa" w:w="3199"/>
            <w:shd w:val="clear" w:color="auto" w:fill="F0F0F8"/>
          </w:tcPr>
          <w:p>
            <w:pPr>
              <w:spacing w:before="20" w:after="20"/>
            </w:pPr>
            <w:r>
              <w:rPr>
                <w:rFonts w:ascii="Calibri" w:hAnsi="Calibri"/>
                <w:b w:val="0"/>
                <w:color w:val="333333"/>
                <w:sz w:val="18"/>
              </w:rPr>
              <w:t>gh_upn_grid</w:t>
            </w:r>
          </w:p>
        </w:tc>
      </w:tr>
      <w:tr>
        <w:trPr>
          <w:cantSplit/>
        </w:trPr>
        <w:tc>
          <w:tcPr>
            <w:tcW w:type="dxa" w:w="1102"/>
            <w:shd w:val="clear" w:color="auto" w:fill="FFFFFF"/>
          </w:tcPr>
          <w:p>
            <w:pPr>
              <w:spacing w:before="20" w:after="20"/>
            </w:pPr>
            <w:r>
              <w:rPr>
                <w:rFonts w:ascii="Calibri" w:hAnsi="Calibri"/>
                <w:b/>
                <w:color w:val="333333"/>
                <w:sz w:val="18"/>
              </w:rPr>
              <w:t>(none)</w:t>
            </w:r>
          </w:p>
        </w:tc>
        <w:tc>
          <w:tcPr>
            <w:tcW w:type="dxa" w:w="2362"/>
            <w:shd w:val="clear" w:color="auto" w:fill="FFFFFF"/>
          </w:tcPr>
          <w:p>
            <w:pPr>
              <w:spacing w:before="20" w:after="20"/>
            </w:pPr>
            <w:r>
              <w:rPr>
                <w:rFonts w:ascii="Calibri" w:hAnsi="Calibri"/>
                <w:b w:val="0"/>
                <w:color w:val="333333"/>
                <w:sz w:val="18"/>
              </w:rPr>
              <w:t>Tables predating the convention, or imported from elsewhere. See section 9.</w:t>
            </w:r>
          </w:p>
        </w:tc>
        <w:tc>
          <w:tcPr>
            <w:tcW w:type="dxa" w:w="2362"/>
            <w:shd w:val="clear" w:color="auto" w:fill="FFFFFF"/>
          </w:tcPr>
          <w:p>
            <w:pPr>
              <w:spacing w:before="20" w:after="20"/>
            </w:pPr>
            <w:r>
              <w:rPr>
                <w:rFonts w:ascii="Calibri" w:hAnsi="Calibri"/>
                <w:b w:val="0"/>
                <w:color w:val="333333"/>
                <w:sz w:val="18"/>
              </w:rPr>
              <w:t>Mostly not used by the app</w:t>
            </w:r>
          </w:p>
        </w:tc>
        <w:tc>
          <w:tcPr>
            <w:tcW w:type="dxa" w:w="3199"/>
            <w:shd w:val="clear" w:color="auto" w:fill="FFFFFF"/>
          </w:tcPr>
          <w:p>
            <w:pPr>
              <w:spacing w:before="20" w:after="20"/>
            </w:pPr>
            <w:r>
              <w:rPr>
                <w:rFonts w:ascii="Calibri" w:hAnsi="Calibri"/>
                <w:b w:val="0"/>
                <w:color w:val="333333"/>
                <w:sz w:val="18"/>
              </w:rPr>
              <w:t>parcels, buildings, osm_roads, zoning_districts</w:t>
            </w:r>
          </w:p>
        </w:tc>
      </w:tr>
    </w:tbl>
    <w:p>
      <w:pPr>
        <w:spacing w:after="120"/>
      </w:pPr>
    </w:p>
    <w:p>
      <w:pPr>
        <w:spacing w:after="120"/>
      </w:pPr>
      <w:r>
        <w:rPr>
          <w:rFonts w:ascii="Calibri" w:hAnsi="Calibri"/>
          <w:color w:val="333333"/>
          <w:sz w:val="22"/>
        </w:rPr>
        <w:t>The convention is applied to the spatial schema only. Tables in admin, dataroom and permit are named for what they hold, because those schemas are already single-purpose and a prefix would add nothing.</w:t>
      </w:r>
    </w:p>
    <w:p>
      <w:pPr>
        <w:pStyle w:val="berschrift2"/>
        <w:spacing w:after="80" w:before="200"/>
      </w:pPr>
      <w:r>
        <w:t>4.2 Column conventions</w:t>
      </w:r>
    </w:p>
    <w:tbl>
      <w:tblPr>
        <w:tblW w:type="auto" w:w="0"/>
        <w:jc w:val="left"/>
        <w:tblLayout w:type="fixed"/>
        <w:tblLook w:firstColumn="1" w:firstRow="1" w:lastColumn="0" w:lastRow="0" w:noHBand="0" w:noVBand="1" w:val="04A0"/>
        <w:tblBorders>
          <w:top w:val="single" w:sz="4" w:space="0" w:color="D9D9E3"/>
          <w:left w:val="single" w:sz="4" w:space="0" w:color="D9D9E3"/>
          <w:bottom w:val="single" w:sz="4" w:space="0" w:color="D9D9E3"/>
          <w:right w:val="single" w:sz="4" w:space="0" w:color="D9D9E3"/>
          <w:insideH w:val="single" w:sz="4" w:space="0" w:color="D9D9E3"/>
          <w:insideV w:val="single" w:sz="4" w:space="0" w:color="D9D9E3"/>
        </w:tblBorders>
        <w:tblLayout w:type="fixed"/>
        <w:tblW w:w="9026" w:type="dxa"/>
      </w:tblPr>
      <w:tblGrid>
        <w:gridCol w:w="1889"/>
        <w:gridCol w:w="2519"/>
        <w:gridCol w:w="4616"/>
      </w:tblGrid>
      <w:tr>
        <w:trPr>
          <w:tblHeader/>
          <w:cantSplit/>
        </w:trPr>
        <w:tc>
          <w:tcPr>
            <w:tcW w:type="dxa" w:w="1890"/>
            <w:shd w:val="clear" w:color="auto" w:fill="1E1A4B"/>
          </w:tcPr>
          <w:p>
            <w:pPr>
              <w:spacing w:before="20" w:after="20"/>
            </w:pPr>
            <w:r>
              <w:rPr>
                <w:rFonts w:ascii="Calibri" w:hAnsi="Calibri"/>
                <w:b/>
                <w:color w:val="FFFFFF"/>
                <w:sz w:val="20"/>
              </w:rPr>
              <w:t>Column</w:t>
            </w:r>
          </w:p>
        </w:tc>
        <w:tc>
          <w:tcPr>
            <w:tcW w:type="dxa" w:w="2520"/>
            <w:shd w:val="clear" w:color="auto" w:fill="1E1A4B"/>
          </w:tcPr>
          <w:p>
            <w:pPr>
              <w:spacing w:before="20" w:after="20"/>
            </w:pPr>
            <w:r>
              <w:rPr>
                <w:rFonts w:ascii="Calibri" w:hAnsi="Calibri"/>
                <w:b/>
                <w:color w:val="FFFFFF"/>
                <w:sz w:val="20"/>
              </w:rPr>
              <w:t>Meaning</w:t>
            </w:r>
          </w:p>
        </w:tc>
        <w:tc>
          <w:tcPr>
            <w:tcW w:type="dxa" w:w="4617"/>
            <w:shd w:val="clear" w:color="auto" w:fill="1E1A4B"/>
          </w:tcPr>
          <w:p>
            <w:pPr>
              <w:spacing w:before="20" w:after="20"/>
            </w:pPr>
            <w:r>
              <w:rPr>
                <w:rFonts w:ascii="Calibri" w:hAnsi="Calibri"/>
                <w:b/>
                <w:color w:val="FFFFFF"/>
                <w:sz w:val="20"/>
              </w:rPr>
              <w:t>Note</w:t>
            </w:r>
          </w:p>
        </w:tc>
      </w:tr>
      <w:tr>
        <w:trPr>
          <w:cantSplit/>
        </w:trPr>
        <w:tc>
          <w:tcPr>
            <w:tcW w:type="dxa" w:w="1890"/>
            <w:shd w:val="clear" w:color="auto" w:fill="FFFFFF"/>
          </w:tcPr>
          <w:p>
            <w:pPr>
              <w:spacing w:before="20" w:after="20"/>
            </w:pPr>
            <w:r>
              <w:rPr>
                <w:rFonts w:ascii="Calibri" w:hAnsi="Calibri"/>
                <w:b/>
                <w:color w:val="333333"/>
                <w:sz w:val="18"/>
              </w:rPr>
              <w:t>id</w:t>
            </w:r>
          </w:p>
        </w:tc>
        <w:tc>
          <w:tcPr>
            <w:tcW w:type="dxa" w:w="2520"/>
            <w:shd w:val="clear" w:color="auto" w:fill="FFFFFF"/>
          </w:tcPr>
          <w:p>
            <w:pPr>
              <w:spacing w:before="20" w:after="20"/>
            </w:pPr>
            <w:r>
              <w:rPr>
                <w:rFonts w:ascii="Calibri" w:hAnsi="Calibri"/>
                <w:b w:val="0"/>
                <w:color w:val="333333"/>
                <w:sz w:val="18"/>
              </w:rPr>
              <w:t>Surrogate primary key</w:t>
            </w:r>
          </w:p>
        </w:tc>
        <w:tc>
          <w:tcPr>
            <w:tcW w:type="dxa" w:w="4617"/>
            <w:shd w:val="clear" w:color="auto" w:fill="FFFFFF"/>
          </w:tcPr>
          <w:p>
            <w:pPr>
              <w:spacing w:before="20" w:after="20"/>
            </w:pPr>
            <w:r>
              <w:rPr>
                <w:rFonts w:ascii="Calibri" w:hAnsi="Calibri"/>
                <w:b w:val="0"/>
                <w:color w:val="333333"/>
                <w:sz w:val="18"/>
              </w:rPr>
              <w:t>Present on nearly every table. Not the business identifier.</w:t>
            </w:r>
          </w:p>
        </w:tc>
      </w:tr>
      <w:tr>
        <w:trPr>
          <w:cantSplit/>
        </w:trPr>
        <w:tc>
          <w:tcPr>
            <w:tcW w:type="dxa" w:w="1890"/>
            <w:shd w:val="clear" w:color="auto" w:fill="F0F0F8"/>
          </w:tcPr>
          <w:p>
            <w:pPr>
              <w:spacing w:before="20" w:after="20"/>
            </w:pPr>
            <w:r>
              <w:rPr>
                <w:rFonts w:ascii="Calibri" w:hAnsi="Calibri"/>
                <w:b/>
                <w:color w:val="333333"/>
                <w:sz w:val="18"/>
              </w:rPr>
              <w:t>upn</w:t>
            </w:r>
          </w:p>
        </w:tc>
        <w:tc>
          <w:tcPr>
            <w:tcW w:type="dxa" w:w="2520"/>
            <w:shd w:val="clear" w:color="auto" w:fill="F0F0F8"/>
          </w:tcPr>
          <w:p>
            <w:pPr>
              <w:spacing w:before="20" w:after="20"/>
            </w:pPr>
            <w:r>
              <w:rPr>
                <w:rFonts w:ascii="Calibri" w:hAnsi="Calibri"/>
                <w:b w:val="0"/>
                <w:color w:val="333333"/>
                <w:sz w:val="18"/>
              </w:rPr>
              <w:t>Unique Parcel Number</w:t>
            </w:r>
          </w:p>
        </w:tc>
        <w:tc>
          <w:tcPr>
            <w:tcW w:type="dxa" w:w="4617"/>
            <w:shd w:val="clear" w:color="auto" w:fill="F0F0F8"/>
          </w:tcPr>
          <w:p>
            <w:pPr>
              <w:spacing w:before="20" w:after="20"/>
            </w:pPr>
            <w:r>
              <w:rPr>
                <w:rFonts w:ascii="Calibri" w:hAnsi="Calibri"/>
                <w:b w:val="0"/>
                <w:color w:val="333333"/>
                <w:sz w:val="18"/>
              </w:rPr>
              <w:t>The business identifier for a parcel. Issued from gh_upn_grid.</w:t>
            </w:r>
          </w:p>
        </w:tc>
      </w:tr>
      <w:tr>
        <w:trPr>
          <w:cantSplit/>
        </w:trPr>
        <w:tc>
          <w:tcPr>
            <w:tcW w:type="dxa" w:w="1890"/>
            <w:shd w:val="clear" w:color="auto" w:fill="FFFFFF"/>
          </w:tcPr>
          <w:p>
            <w:pPr>
              <w:spacing w:before="20" w:after="20"/>
            </w:pPr>
            <w:r>
              <w:rPr>
                <w:rFonts w:ascii="Calibri" w:hAnsi="Calibri"/>
                <w:b/>
                <w:color w:val="333333"/>
                <w:sz w:val="18"/>
              </w:rPr>
              <w:t>districtid</w:t>
            </w:r>
          </w:p>
        </w:tc>
        <w:tc>
          <w:tcPr>
            <w:tcW w:type="dxa" w:w="2520"/>
            <w:shd w:val="clear" w:color="auto" w:fill="FFFFFF"/>
          </w:tcPr>
          <w:p>
            <w:pPr>
              <w:spacing w:before="20" w:after="20"/>
            </w:pPr>
            <w:r>
              <w:rPr>
                <w:rFonts w:ascii="Calibri" w:hAnsi="Calibri"/>
                <w:b w:val="0"/>
                <w:color w:val="333333"/>
                <w:sz w:val="18"/>
              </w:rPr>
              <w:t>District the row belongs to</w:t>
            </w:r>
          </w:p>
        </w:tc>
        <w:tc>
          <w:tcPr>
            <w:tcW w:type="dxa" w:w="4617"/>
            <w:shd w:val="clear" w:color="auto" w:fill="FFFFFF"/>
          </w:tcPr>
          <w:p>
            <w:pPr>
              <w:spacing w:before="20" w:after="20"/>
            </w:pPr>
            <w:r>
              <w:rPr>
                <w:rFonts w:ascii="Calibri" w:hAnsi="Calibri"/>
                <w:b w:val="0"/>
                <w:color w:val="333333"/>
                <w:sz w:val="18"/>
              </w:rPr>
              <w:t>The main scoping key. Almost every spatial query filters on it.</w:t>
            </w:r>
          </w:p>
        </w:tc>
      </w:tr>
      <w:tr>
        <w:trPr>
          <w:cantSplit/>
        </w:trPr>
        <w:tc>
          <w:tcPr>
            <w:tcW w:type="dxa" w:w="1890"/>
            <w:shd w:val="clear" w:color="auto" w:fill="F0F0F8"/>
          </w:tcPr>
          <w:p>
            <w:pPr>
              <w:spacing w:before="20" w:after="20"/>
            </w:pPr>
            <w:r>
              <w:rPr>
                <w:rFonts w:ascii="Calibri" w:hAnsi="Calibri"/>
                <w:b/>
                <w:color w:val="333333"/>
                <w:sz w:val="18"/>
              </w:rPr>
              <w:t>geom</w:t>
            </w:r>
          </w:p>
        </w:tc>
        <w:tc>
          <w:tcPr>
            <w:tcW w:type="dxa" w:w="2520"/>
            <w:shd w:val="clear" w:color="auto" w:fill="F0F0F8"/>
          </w:tcPr>
          <w:p>
            <w:pPr>
              <w:spacing w:before="20" w:after="20"/>
            </w:pPr>
            <w:r>
              <w:rPr>
                <w:rFonts w:ascii="Calibri" w:hAnsi="Calibri"/>
                <w:b w:val="0"/>
                <w:color w:val="333333"/>
                <w:sz w:val="18"/>
              </w:rPr>
              <w:t>Geometry, current convention</w:t>
            </w:r>
          </w:p>
        </w:tc>
        <w:tc>
          <w:tcPr>
            <w:tcW w:type="dxa" w:w="4617"/>
            <w:shd w:val="clear" w:color="auto" w:fill="F0F0F8"/>
          </w:tcPr>
          <w:p>
            <w:pPr>
              <w:spacing w:before="20" w:after="20"/>
            </w:pPr>
            <w:r>
              <w:rPr>
                <w:rFonts w:ascii="Calibri" w:hAnsi="Calibri"/>
                <w:b w:val="0"/>
                <w:color w:val="333333"/>
                <w:sz w:val="18"/>
              </w:rPr>
              <w:t>EPSG:4326 unless a separate column says otherwise (lu_parcels also has geom_utm).</w:t>
            </w:r>
          </w:p>
        </w:tc>
      </w:tr>
      <w:tr>
        <w:trPr>
          <w:cantSplit/>
        </w:trPr>
        <w:tc>
          <w:tcPr>
            <w:tcW w:type="dxa" w:w="1890"/>
            <w:shd w:val="clear" w:color="auto" w:fill="FFFFFF"/>
          </w:tcPr>
          <w:p>
            <w:pPr>
              <w:spacing w:before="20" w:after="20"/>
            </w:pPr>
            <w:r>
              <w:rPr>
                <w:rFonts w:ascii="Calibri" w:hAnsi="Calibri"/>
                <w:b/>
                <w:color w:val="333333"/>
                <w:sz w:val="18"/>
              </w:rPr>
              <w:t>fid</w:t>
            </w:r>
          </w:p>
        </w:tc>
        <w:tc>
          <w:tcPr>
            <w:tcW w:type="dxa" w:w="2520"/>
            <w:shd w:val="clear" w:color="auto" w:fill="FFFFFF"/>
          </w:tcPr>
          <w:p>
            <w:pPr>
              <w:spacing w:before="20" w:after="20"/>
            </w:pPr>
            <w:r>
              <w:rPr>
                <w:rFonts w:ascii="Calibri" w:hAnsi="Calibri"/>
                <w:b w:val="0"/>
                <w:color w:val="333333"/>
                <w:sz w:val="18"/>
              </w:rPr>
              <w:t>Feature identifier from the source dataset</w:t>
            </w:r>
          </w:p>
        </w:tc>
        <w:tc>
          <w:tcPr>
            <w:tcW w:type="dxa" w:w="4617"/>
            <w:shd w:val="clear" w:color="auto" w:fill="FFFFFF"/>
          </w:tcPr>
          <w:p>
            <w:pPr>
              <w:spacing w:before="20" w:after="20"/>
            </w:pPr>
            <w:r>
              <w:rPr>
                <w:rFonts w:ascii="Calibri" w:hAnsi="Calibri"/>
                <w:b w:val="0"/>
                <w:color w:val="333333"/>
                <w:sz w:val="18"/>
              </w:rPr>
              <w:t>Carried over from imports; not a key LUPMIS issues.</w:t>
            </w:r>
          </w:p>
        </w:tc>
      </w:tr>
      <w:tr>
        <w:trPr>
          <w:cantSplit/>
        </w:trPr>
        <w:tc>
          <w:tcPr>
            <w:tcW w:type="dxa" w:w="1890"/>
            <w:shd w:val="clear" w:color="auto" w:fill="F0F0F8"/>
          </w:tcPr>
          <w:p>
            <w:pPr>
              <w:spacing w:before="20" w:after="20"/>
            </w:pPr>
            <w:r>
              <w:rPr>
                <w:rFonts w:ascii="Calibri" w:hAnsi="Calibri"/>
                <w:b/>
                <w:color w:val="333333"/>
                <w:sz w:val="18"/>
              </w:rPr>
              <w:t>tscid, tsczonenr</w:t>
            </w:r>
          </w:p>
        </w:tc>
        <w:tc>
          <w:tcPr>
            <w:tcW w:type="dxa" w:w="2520"/>
            <w:shd w:val="clear" w:color="auto" w:fill="F0F0F8"/>
          </w:tcPr>
          <w:p>
            <w:pPr>
              <w:spacing w:before="20" w:after="20"/>
            </w:pPr>
            <w:r>
              <w:rPr>
                <w:rFonts w:ascii="Calibri" w:hAnsi="Calibri"/>
                <w:b w:val="0"/>
                <w:color w:val="333333"/>
                <w:sz w:val="18"/>
              </w:rPr>
              <w:t>Tax service centre and zone number</w:t>
            </w:r>
          </w:p>
        </w:tc>
        <w:tc>
          <w:tcPr>
            <w:tcW w:type="dxa" w:w="4617"/>
            <w:shd w:val="clear" w:color="auto" w:fill="F0F0F8"/>
          </w:tcPr>
          <w:p>
            <w:pPr>
              <w:spacing w:before="20" w:after="20"/>
            </w:pPr>
            <w:r>
              <w:rPr>
                <w:rFonts w:ascii="Calibri" w:hAnsi="Calibri"/>
                <w:b w:val="0"/>
                <w:color w:val="333333"/>
                <w:sz w:val="18"/>
              </w:rPr>
              <w:t>Links spatial data to the revenue collection structure.</w:t>
            </w:r>
          </w:p>
        </w:tc>
      </w:tr>
      <w:tr>
        <w:trPr>
          <w:cantSplit/>
        </w:trPr>
        <w:tc>
          <w:tcPr>
            <w:tcW w:type="dxa" w:w="1890"/>
            <w:shd w:val="clear" w:color="auto" w:fill="FFFFFF"/>
          </w:tcPr>
          <w:p>
            <w:pPr>
              <w:spacing w:before="20" w:after="20"/>
            </w:pPr>
            <w:r>
              <w:rPr>
                <w:rFonts w:ascii="Calibri" w:hAnsi="Calibri"/>
                <w:b/>
                <w:color w:val="333333"/>
                <w:sz w:val="18"/>
              </w:rPr>
              <w:t>created_at, updated_at</w:t>
            </w:r>
          </w:p>
        </w:tc>
        <w:tc>
          <w:tcPr>
            <w:tcW w:type="dxa" w:w="2520"/>
            <w:shd w:val="clear" w:color="auto" w:fill="FFFFFF"/>
          </w:tcPr>
          <w:p>
            <w:pPr>
              <w:spacing w:before="20" w:after="20"/>
            </w:pPr>
            <w:r>
              <w:rPr>
                <w:rFonts w:ascii="Calibri" w:hAnsi="Calibri"/>
                <w:b w:val="0"/>
                <w:color w:val="333333"/>
                <w:sz w:val="18"/>
              </w:rPr>
              <w:t>Row timestamps, current convention</w:t>
            </w:r>
          </w:p>
        </w:tc>
        <w:tc>
          <w:tcPr>
            <w:tcW w:type="dxa" w:w="4617"/>
            <w:shd w:val="clear" w:color="auto" w:fill="FFFFFF"/>
          </w:tcPr>
          <w:p>
            <w:pPr>
              <w:spacing w:before="20" w:after="20"/>
            </w:pPr>
            <w:r>
              <w:rPr>
                <w:rFonts w:ascii="Calibri" w:hAnsi="Calibri"/>
                <w:b w:val="0"/>
                <w:color w:val="333333"/>
                <w:sz w:val="18"/>
              </w:rPr>
              <w:t>Older tables use dt_create / dt_edit or createdate / editdate instead.</w:t>
            </w:r>
          </w:p>
        </w:tc>
      </w:tr>
      <w:tr>
        <w:trPr>
          <w:cantSplit/>
        </w:trPr>
        <w:tc>
          <w:tcPr>
            <w:tcW w:type="dxa" w:w="1890"/>
            <w:shd w:val="clear" w:color="auto" w:fill="F0F0F8"/>
          </w:tcPr>
          <w:p>
            <w:pPr>
              <w:spacing w:before="20" w:after="20"/>
            </w:pPr>
            <w:r>
              <w:rPr>
                <w:rFonts w:ascii="Calibri" w:hAnsi="Calibri"/>
                <w:b/>
                <w:color w:val="333333"/>
                <w:sz w:val="18"/>
              </w:rPr>
              <w:t>client_uuid</w:t>
            </w:r>
          </w:p>
        </w:tc>
        <w:tc>
          <w:tcPr>
            <w:tcW w:type="dxa" w:w="2520"/>
            <w:shd w:val="clear" w:color="auto" w:fill="F0F0F8"/>
          </w:tcPr>
          <w:p>
            <w:pPr>
              <w:spacing w:before="20" w:after="20"/>
            </w:pPr>
            <w:r>
              <w:rPr>
                <w:rFonts w:ascii="Calibri" w:hAnsi="Calibri"/>
                <w:b w:val="0"/>
                <w:color w:val="333333"/>
                <w:sz w:val="18"/>
              </w:rPr>
              <w:t>Identifier generated on the device</w:t>
            </w:r>
          </w:p>
        </w:tc>
        <w:tc>
          <w:tcPr>
            <w:tcW w:type="dxa" w:w="4617"/>
            <w:shd w:val="clear" w:color="auto" w:fill="F0F0F8"/>
          </w:tcPr>
          <w:p>
            <w:pPr>
              <w:spacing w:before="20" w:after="20"/>
            </w:pPr>
            <w:r>
              <w:rPr>
                <w:rFonts w:ascii="Calibri" w:hAnsi="Calibri"/>
                <w:b w:val="0"/>
                <w:color w:val="333333"/>
                <w:sz w:val="18"/>
              </w:rPr>
              <w:t>Lets the server de-duplicate records uploaded from the field.</w:t>
            </w:r>
          </w:p>
        </w:tc>
      </w:tr>
    </w:tbl>
    <w:p>
      <w:pPr>
        <w:spacing w:after="120"/>
      </w:pPr>
    </w:p>
    <w:p>
      <w:pPr>
        <w:pStyle w:val="berschrift2"/>
        <w:spacing w:after="80" w:before="200"/>
      </w:pPr>
      <w:r>
        <w:t>4.3 Suffixes and special names</w:t>
      </w:r>
    </w:p>
    <w:p>
      <w:pPr>
        <w:spacing w:after="60"/>
        <w:ind w:left="360"/>
      </w:pPr>
      <w:r>
        <w:rPr>
          <w:rFonts w:ascii="Calibri" w:hAnsi="Calibri"/>
          <w:b w:val="0"/>
          <w:color w:val="333333"/>
          <w:sz w:val="22"/>
        </w:rPr>
        <w:t>— _tmp — a staging table that data passes through before it becomes live. lu_parcels_upload_tmp holds field uploads until a supervisor promotes them.</w:t>
      </w:r>
    </w:p>
    <w:p>
      <w:pPr>
        <w:spacing w:after="60"/>
        <w:ind w:left="360"/>
      </w:pPr>
      <w:r>
        <w:rPr>
          <w:rFonts w:ascii="Calibri" w:hAnsi="Calibri"/>
          <w:b w:val="0"/>
          <w:color w:val="333333"/>
          <w:sz w:val="22"/>
        </w:rPr>
        <w:t>— _log, _history — append-only records of what happened: user_access_log, application_status_history, audit_log.</w:t>
      </w:r>
    </w:p>
    <w:p>
      <w:pPr>
        <w:spacing w:after="60"/>
        <w:ind w:left="360"/>
      </w:pPr>
      <w:r>
        <w:rPr>
          <w:rFonts w:ascii="Calibri" w:hAnsi="Calibri"/>
          <w:b w:val="0"/>
          <w:color w:val="333333"/>
          <w:sz w:val="22"/>
        </w:rPr>
        <w:t>— _assigned — a join table linking a user to something granted to them: user_menu_assigned, user_priviledges_assigned.</w:t>
      </w:r>
    </w:p>
    <w:p>
      <w:pPr>
        <w:spacing w:after="60"/>
        <w:ind w:left="360"/>
      </w:pPr>
      <w:r>
        <w:rPr>
          <w:rFonts w:ascii="Calibri" w:hAnsi="Calibri"/>
          <w:b w:val="0"/>
          <w:color w:val="333333"/>
          <w:sz w:val="22"/>
        </w:rPr>
        <w:t>— A trailing date — a dated snapshot of an import, kept for reference: gis_osm_roads20260519 is an OSM extract from 19 May 2026.</w:t>
      </w:r>
    </w:p>
    <w:p>
      <w:pPr>
        <w:spacing w:after="60"/>
        <w:ind w:left="360"/>
      </w:pPr>
      <w:r>
        <w:rPr>
          <w:rFonts w:ascii="Calibri" w:hAnsi="Calibri"/>
          <w:b w:val="0"/>
          <w:color w:val="333333"/>
          <w:sz w:val="22"/>
        </w:rPr>
        <w:t>— Trailing digits on lu_parcels (0, 00, 000, 1, 2) — successive generations of the parcel table from earlier migrations, not a numbered series with current meaning.</w:t>
      </w:r>
    </w:p>
    <w:p>
      <w:pPr>
        <w:pStyle w:val="berschrift2"/>
        <w:spacing w:after="80" w:before="200"/>
      </w:pPr>
      <w:r>
        <w:t>4.4 Function naming</w:t>
      </w:r>
    </w:p>
    <w:p>
      <w:pPr>
        <w:spacing w:after="120"/>
      </w:pPr>
      <w:r>
        <w:rPr>
          <w:rFonts w:ascii="Calibri" w:hAnsi="Calibri"/>
          <w:color w:val="333333"/>
          <w:sz w:val="22"/>
        </w:rPr>
        <w:t>The 116 stored functions follow a verb-first pattern. The verb says what the function does; the rest names the thing it acts on and, where relevant, how the result is shaped.</w:t>
      </w:r>
    </w:p>
    <w:tbl>
      <w:tblPr>
        <w:tblW w:type="auto" w:w="0"/>
        <w:jc w:val="left"/>
        <w:tblLayout w:type="fixed"/>
        <w:tblLook w:firstColumn="1" w:firstRow="1" w:lastColumn="0" w:lastRow="0" w:noHBand="0" w:noVBand="1" w:val="04A0"/>
        <w:tblBorders>
          <w:top w:val="single" w:sz="4" w:space="0" w:color="D9D9E3"/>
          <w:left w:val="single" w:sz="4" w:space="0" w:color="D9D9E3"/>
          <w:bottom w:val="single" w:sz="4" w:space="0" w:color="D9D9E3"/>
          <w:right w:val="single" w:sz="4" w:space="0" w:color="D9D9E3"/>
          <w:insideH w:val="single" w:sz="4" w:space="0" w:color="D9D9E3"/>
          <w:insideV w:val="single" w:sz="4" w:space="0" w:color="D9D9E3"/>
        </w:tblBorders>
        <w:tblLayout w:type="fixed"/>
        <w:tblW w:w="9026" w:type="dxa"/>
      </w:tblPr>
      <w:tblGrid>
        <w:gridCol w:w="1732"/>
        <w:gridCol w:w="2362"/>
        <w:gridCol w:w="4931"/>
      </w:tblGrid>
      <w:tr>
        <w:trPr>
          <w:tblHeader/>
          <w:cantSplit/>
        </w:trPr>
        <w:tc>
          <w:tcPr>
            <w:tcW w:type="dxa" w:w="1732"/>
            <w:shd w:val="clear" w:color="auto" w:fill="1E1A4B"/>
          </w:tcPr>
          <w:p>
            <w:pPr>
              <w:spacing w:before="20" w:after="20"/>
            </w:pPr>
            <w:r>
              <w:rPr>
                <w:rFonts w:ascii="Calibri" w:hAnsi="Calibri"/>
                <w:b/>
                <w:color w:val="FFFFFF"/>
                <w:sz w:val="20"/>
              </w:rPr>
              <w:t>Pattern</w:t>
            </w:r>
          </w:p>
        </w:tc>
        <w:tc>
          <w:tcPr>
            <w:tcW w:type="dxa" w:w="2362"/>
            <w:shd w:val="clear" w:color="auto" w:fill="1E1A4B"/>
          </w:tcPr>
          <w:p>
            <w:pPr>
              <w:spacing w:before="20" w:after="20"/>
            </w:pPr>
            <w:r>
              <w:rPr>
                <w:rFonts w:ascii="Calibri" w:hAnsi="Calibri"/>
                <w:b/>
                <w:color w:val="FFFFFF"/>
                <w:sz w:val="20"/>
              </w:rPr>
              <w:t>Meaning</w:t>
            </w:r>
          </w:p>
        </w:tc>
        <w:tc>
          <w:tcPr>
            <w:tcW w:type="dxa" w:w="4932"/>
            <w:shd w:val="clear" w:color="auto" w:fill="1E1A4B"/>
          </w:tcPr>
          <w:p>
            <w:pPr>
              <w:spacing w:before="20" w:after="20"/>
            </w:pPr>
            <w:r>
              <w:rPr>
                <w:rFonts w:ascii="Calibri" w:hAnsi="Calibri"/>
                <w:b/>
                <w:color w:val="FFFFFF"/>
                <w:sz w:val="20"/>
              </w:rPr>
              <w:t>Examples</w:t>
            </w:r>
          </w:p>
        </w:tc>
      </w:tr>
      <w:tr>
        <w:trPr>
          <w:cantSplit/>
        </w:trPr>
        <w:tc>
          <w:tcPr>
            <w:tcW w:type="dxa" w:w="1732"/>
            <w:shd w:val="clear" w:color="auto" w:fill="FFFFFF"/>
          </w:tcPr>
          <w:p>
            <w:pPr>
              <w:spacing w:before="20" w:after="20"/>
            </w:pPr>
            <w:r>
              <w:rPr>
                <w:rFonts w:ascii="Calibri" w:hAnsi="Calibri"/>
                <w:b/>
                <w:color w:val="333333"/>
                <w:sz w:val="18"/>
              </w:rPr>
              <w:t>select_get_…</w:t>
            </w:r>
          </w:p>
        </w:tc>
        <w:tc>
          <w:tcPr>
            <w:tcW w:type="dxa" w:w="2362"/>
            <w:shd w:val="clear" w:color="auto" w:fill="FFFFFF"/>
          </w:tcPr>
          <w:p>
            <w:pPr>
              <w:spacing w:before="20" w:after="20"/>
            </w:pPr>
            <w:r>
              <w:rPr>
                <w:rFonts w:ascii="Calibri" w:hAnsi="Calibri"/>
                <w:b w:val="0"/>
                <w:color w:val="333333"/>
                <w:sz w:val="18"/>
              </w:rPr>
              <w:t>Read a set of rows, usually scoped by district</w:t>
            </w:r>
          </w:p>
        </w:tc>
        <w:tc>
          <w:tcPr>
            <w:tcW w:type="dxa" w:w="4932"/>
            <w:shd w:val="clear" w:color="auto" w:fill="FFFFFF"/>
          </w:tcPr>
          <w:p>
            <w:pPr>
              <w:spacing w:before="20" w:after="20"/>
            </w:pPr>
            <w:r>
              <w:rPr>
                <w:rFonts w:ascii="Calibri" w:hAnsi="Calibri"/>
                <w:b w:val="0"/>
                <w:color w:val="333333"/>
                <w:sz w:val="18"/>
              </w:rPr>
              <w:t>select_get_parcels_per_district, select_get_upn_grid_per_district</w:t>
            </w:r>
          </w:p>
        </w:tc>
      </w:tr>
      <w:tr>
        <w:trPr>
          <w:cantSplit/>
        </w:trPr>
        <w:tc>
          <w:tcPr>
            <w:tcW w:type="dxa" w:w="1732"/>
            <w:shd w:val="clear" w:color="auto" w:fill="F0F0F8"/>
          </w:tcPr>
          <w:p>
            <w:pPr>
              <w:spacing w:before="20" w:after="20"/>
            </w:pPr>
            <w:r>
              <w:rPr>
                <w:rFonts w:ascii="Calibri" w:hAnsi="Calibri"/>
                <w:b/>
                <w:color w:val="333333"/>
                <w:sz w:val="18"/>
              </w:rPr>
              <w:t>get_…, list_…</w:t>
            </w:r>
          </w:p>
        </w:tc>
        <w:tc>
          <w:tcPr>
            <w:tcW w:type="dxa" w:w="2362"/>
            <w:shd w:val="clear" w:color="auto" w:fill="F0F0F8"/>
          </w:tcPr>
          <w:p>
            <w:pPr>
              <w:spacing w:before="20" w:after="20"/>
            </w:pPr>
            <w:r>
              <w:rPr>
                <w:rFonts w:ascii="Calibri" w:hAnsi="Calibri"/>
                <w:b w:val="0"/>
                <w:color w:val="333333"/>
                <w:sz w:val="18"/>
              </w:rPr>
              <w:t>Read one record or a list</w:t>
            </w:r>
          </w:p>
        </w:tc>
        <w:tc>
          <w:tcPr>
            <w:tcW w:type="dxa" w:w="4932"/>
            <w:shd w:val="clear" w:color="auto" w:fill="F0F0F8"/>
          </w:tcPr>
          <w:p>
            <w:pPr>
              <w:spacing w:before="20" w:after="20"/>
            </w:pPr>
            <w:r>
              <w:rPr>
                <w:rFonts w:ascii="Calibri" w:hAnsi="Calibri"/>
                <w:b w:val="0"/>
                <w:color w:val="333333"/>
                <w:sz w:val="18"/>
              </w:rPr>
              <w:t>get_dataset_by_id, list_datasets</w:t>
            </w:r>
          </w:p>
        </w:tc>
      </w:tr>
      <w:tr>
        <w:trPr>
          <w:cantSplit/>
        </w:trPr>
        <w:tc>
          <w:tcPr>
            <w:tcW w:type="dxa" w:w="1732"/>
            <w:shd w:val="clear" w:color="auto" w:fill="FFFFFF"/>
          </w:tcPr>
          <w:p>
            <w:pPr>
              <w:spacing w:before="20" w:after="20"/>
            </w:pPr>
            <w:r>
              <w:rPr>
                <w:rFonts w:ascii="Calibri" w:hAnsi="Calibri"/>
                <w:b/>
                <w:color w:val="333333"/>
                <w:sz w:val="18"/>
              </w:rPr>
              <w:t>insert_…, add_…</w:t>
            </w:r>
          </w:p>
        </w:tc>
        <w:tc>
          <w:tcPr>
            <w:tcW w:type="dxa" w:w="2362"/>
            <w:shd w:val="clear" w:color="auto" w:fill="FFFFFF"/>
          </w:tcPr>
          <w:p>
            <w:pPr>
              <w:spacing w:before="20" w:after="20"/>
            </w:pPr>
            <w:r>
              <w:rPr>
                <w:rFonts w:ascii="Calibri" w:hAnsi="Calibri"/>
                <w:b w:val="0"/>
                <w:color w:val="333333"/>
                <w:sz w:val="18"/>
              </w:rPr>
              <w:t>Create a record</w:t>
            </w:r>
          </w:p>
        </w:tc>
        <w:tc>
          <w:tcPr>
            <w:tcW w:type="dxa" w:w="4932"/>
            <w:shd w:val="clear" w:color="auto" w:fill="FFFFFF"/>
          </w:tcPr>
          <w:p>
            <w:pPr>
              <w:spacing w:before="20" w:after="20"/>
            </w:pPr>
            <w:r>
              <w:rPr>
                <w:rFonts w:ascii="Calibri" w:hAnsi="Calibri"/>
                <w:b w:val="0"/>
                <w:color w:val="333333"/>
                <w:sz w:val="18"/>
              </w:rPr>
              <w:t>insert_lu_parcel_json, add_applicant</w:t>
            </w:r>
          </w:p>
        </w:tc>
      </w:tr>
      <w:tr>
        <w:trPr>
          <w:cantSplit/>
        </w:trPr>
        <w:tc>
          <w:tcPr>
            <w:tcW w:type="dxa" w:w="1732"/>
            <w:shd w:val="clear" w:color="auto" w:fill="F0F0F8"/>
          </w:tcPr>
          <w:p>
            <w:pPr>
              <w:spacing w:before="20" w:after="20"/>
            </w:pPr>
            <w:r>
              <w:rPr>
                <w:rFonts w:ascii="Calibri" w:hAnsi="Calibri"/>
                <w:b/>
                <w:color w:val="333333"/>
                <w:sz w:val="18"/>
              </w:rPr>
              <w:t>update_…, delete_…</w:t>
            </w:r>
          </w:p>
        </w:tc>
        <w:tc>
          <w:tcPr>
            <w:tcW w:type="dxa" w:w="2362"/>
            <w:shd w:val="clear" w:color="auto" w:fill="F0F0F8"/>
          </w:tcPr>
          <w:p>
            <w:pPr>
              <w:spacing w:before="20" w:after="20"/>
            </w:pPr>
            <w:r>
              <w:rPr>
                <w:rFonts w:ascii="Calibri" w:hAnsi="Calibri"/>
                <w:b w:val="0"/>
                <w:color w:val="333333"/>
                <w:sz w:val="18"/>
              </w:rPr>
              <w:t>Modify or remove a record</w:t>
            </w:r>
          </w:p>
        </w:tc>
        <w:tc>
          <w:tcPr>
            <w:tcW w:type="dxa" w:w="4932"/>
            <w:shd w:val="clear" w:color="auto" w:fill="F0F0F8"/>
          </w:tcPr>
          <w:p>
            <w:pPr>
              <w:spacing w:before="20" w:after="20"/>
            </w:pPr>
            <w:r>
              <w:rPr>
                <w:rFonts w:ascii="Calibri" w:hAnsi="Calibri"/>
                <w:b w:val="0"/>
                <w:color w:val="333333"/>
                <w:sz w:val="18"/>
              </w:rPr>
              <w:t>update_lu_parcel_json, delete_mining_document</w:t>
            </w:r>
          </w:p>
        </w:tc>
      </w:tr>
      <w:tr>
        <w:trPr>
          <w:cantSplit/>
        </w:trPr>
        <w:tc>
          <w:tcPr>
            <w:tcW w:type="dxa" w:w="1732"/>
            <w:shd w:val="clear" w:color="auto" w:fill="FFFFFF"/>
          </w:tcPr>
          <w:p>
            <w:pPr>
              <w:spacing w:before="20" w:after="20"/>
            </w:pPr>
            <w:r>
              <w:rPr>
                <w:rFonts w:ascii="Calibri" w:hAnsi="Calibri"/>
                <w:b/>
                <w:color w:val="333333"/>
                <w:sz w:val="18"/>
              </w:rPr>
              <w:t>…_json</w:t>
            </w:r>
          </w:p>
        </w:tc>
        <w:tc>
          <w:tcPr>
            <w:tcW w:type="dxa" w:w="2362"/>
            <w:shd w:val="clear" w:color="auto" w:fill="FFFFFF"/>
          </w:tcPr>
          <w:p>
            <w:pPr>
              <w:spacing w:before="20" w:after="20"/>
            </w:pPr>
            <w:r>
              <w:rPr>
                <w:rFonts w:ascii="Calibri" w:hAnsi="Calibri"/>
                <w:b w:val="0"/>
                <w:color w:val="333333"/>
                <w:sz w:val="18"/>
              </w:rPr>
              <w:t>Takes or returns JSON rather than columns</w:t>
            </w:r>
          </w:p>
        </w:tc>
        <w:tc>
          <w:tcPr>
            <w:tcW w:type="dxa" w:w="4932"/>
            <w:shd w:val="clear" w:color="auto" w:fill="FFFFFF"/>
          </w:tcPr>
          <w:p>
            <w:pPr>
              <w:spacing w:before="20" w:after="20"/>
            </w:pPr>
            <w:r>
              <w:rPr>
                <w:rFonts w:ascii="Calibri" w:hAnsi="Calibri"/>
                <w:b w:val="0"/>
                <w:color w:val="333333"/>
                <w:sz w:val="18"/>
              </w:rPr>
              <w:t>select_lu_parcels_json, insert_application_comment_json</w:t>
            </w:r>
          </w:p>
        </w:tc>
      </w:tr>
      <w:tr>
        <w:trPr>
          <w:cantSplit/>
        </w:trPr>
        <w:tc>
          <w:tcPr>
            <w:tcW w:type="dxa" w:w="1732"/>
            <w:shd w:val="clear" w:color="auto" w:fill="F0F0F8"/>
          </w:tcPr>
          <w:p>
            <w:pPr>
              <w:spacing w:before="20" w:after="20"/>
            </w:pPr>
            <w:r>
              <w:rPr>
                <w:rFonts w:ascii="Calibri" w:hAnsi="Calibri"/>
                <w:b/>
                <w:color w:val="333333"/>
                <w:sz w:val="18"/>
              </w:rPr>
              <w:t>contours_…</w:t>
            </w:r>
          </w:p>
        </w:tc>
        <w:tc>
          <w:tcPr>
            <w:tcW w:type="dxa" w:w="2362"/>
            <w:shd w:val="clear" w:color="auto" w:fill="F0F0F8"/>
          </w:tcPr>
          <w:p>
            <w:pPr>
              <w:spacing w:before="20" w:after="20"/>
            </w:pPr>
            <w:r>
              <w:rPr>
                <w:rFonts w:ascii="Calibri" w:hAnsi="Calibri"/>
                <w:b w:val="0"/>
                <w:color w:val="333333"/>
                <w:sz w:val="18"/>
              </w:rPr>
              <w:t>The one family named after its table rather than its verb</w:t>
            </w:r>
          </w:p>
        </w:tc>
        <w:tc>
          <w:tcPr>
            <w:tcW w:type="dxa" w:w="4932"/>
            <w:shd w:val="clear" w:color="auto" w:fill="F0F0F8"/>
          </w:tcPr>
          <w:p>
            <w:pPr>
              <w:spacing w:before="20" w:after="20"/>
            </w:pPr>
            <w:r>
              <w:rPr>
                <w:rFonts w:ascii="Calibri" w:hAnsi="Calibri"/>
                <w:b w:val="0"/>
                <w:color w:val="333333"/>
                <w:sz w:val="18"/>
              </w:rPr>
              <w:t>contours_get_by_district, contours_add, contours_update</w:t>
            </w:r>
          </w:p>
        </w:tc>
      </w:tr>
      <w:tr>
        <w:trPr>
          <w:cantSplit/>
        </w:trPr>
        <w:tc>
          <w:tcPr>
            <w:tcW w:type="dxa" w:w="1732"/>
            <w:shd w:val="clear" w:color="auto" w:fill="FFFFFF"/>
          </w:tcPr>
          <w:p>
            <w:pPr>
              <w:spacing w:before="20" w:after="20"/>
            </w:pPr>
            <w:r>
              <w:rPr>
                <w:rFonts w:ascii="Calibri" w:hAnsi="Calibri"/>
                <w:b/>
                <w:color w:val="333333"/>
                <w:sz w:val="18"/>
              </w:rPr>
              <w:t>review_…, transfer_…</w:t>
            </w:r>
          </w:p>
        </w:tc>
        <w:tc>
          <w:tcPr>
            <w:tcW w:type="dxa" w:w="2362"/>
            <w:shd w:val="clear" w:color="auto" w:fill="FFFFFF"/>
          </w:tcPr>
          <w:p>
            <w:pPr>
              <w:spacing w:before="20" w:after="20"/>
            </w:pPr>
            <w:r>
              <w:rPr>
                <w:rFonts w:ascii="Calibri" w:hAnsi="Calibri"/>
                <w:b w:val="0"/>
                <w:color w:val="333333"/>
                <w:sz w:val="18"/>
              </w:rPr>
              <w:t>Steps in the staged-upload workflow</w:t>
            </w:r>
          </w:p>
        </w:tc>
        <w:tc>
          <w:tcPr>
            <w:tcW w:type="dxa" w:w="4932"/>
            <w:shd w:val="clear" w:color="auto" w:fill="FFFFFF"/>
          </w:tcPr>
          <w:p>
            <w:pPr>
              <w:spacing w:before="20" w:after="20"/>
            </w:pPr>
            <w:r>
              <w:rPr>
                <w:rFonts w:ascii="Calibri" w:hAnsi="Calibri"/>
                <w:b w:val="0"/>
                <w:color w:val="333333"/>
                <w:sz w:val="18"/>
              </w:rPr>
              <w:t>review_lu_parcel_upload_json, transfer_upload_to_master_json</w:t>
            </w:r>
          </w:p>
        </w:tc>
      </w:tr>
    </w:tbl>
    <w:p>
      <w:pPr>
        <w:spacing w:after="120"/>
      </w:pPr>
    </w:p>
    <w:p>
      <w:pPr>
        <w:pStyle w:val="berschrift1"/>
        <w:spacing w:after="120" w:before="280"/>
      </w:pPr>
      <w:r>
        <w:t>5. The spatial schema</w:t>
      </w:r>
    </w:p>
    <w:p>
      <w:pPr>
        <w:spacing w:after="120"/>
      </w:pPr>
      <w:r>
        <w:rPr>
          <w:rFonts w:ascii="Calibri" w:hAnsi="Calibri"/>
          <w:color w:val="333333"/>
          <w:sz w:val="22"/>
        </w:rPr>
        <w:t>Thirty-two tables, listed below in prefix order. These are the tables the mapping application reads, and the ones most likely to be asked about.</w:t>
      </w:r>
    </w:p>
    <w:tbl>
      <w:tblPr>
        <w:tblW w:type="auto" w:w="0"/>
        <w:jc w:val="left"/>
        <w:tblLayout w:type="fixed"/>
        <w:tblLook w:firstColumn="1" w:firstRow="1" w:lastColumn="0" w:lastRow="0" w:noHBand="0" w:noVBand="1" w:val="04A0"/>
        <w:tblBorders>
          <w:top w:val="single" w:sz="4" w:space="0" w:color="D9D9E3"/>
          <w:left w:val="single" w:sz="4" w:space="0" w:color="D9D9E3"/>
          <w:bottom w:val="single" w:sz="4" w:space="0" w:color="D9D9E3"/>
          <w:right w:val="single" w:sz="4" w:space="0" w:color="D9D9E3"/>
          <w:insideH w:val="single" w:sz="4" w:space="0" w:color="D9D9E3"/>
          <w:insideV w:val="single" w:sz="4" w:space="0" w:color="D9D9E3"/>
        </w:tblBorders>
        <w:tblLayout w:type="fixed"/>
        <w:tblW w:w="9026" w:type="dxa"/>
      </w:tblPr>
      <w:tblGrid>
        <w:gridCol w:w="2362"/>
        <w:gridCol w:w="6663"/>
      </w:tblGrid>
      <w:tr>
        <w:trPr>
          <w:tblHeader/>
          <w:cantSplit/>
        </w:trPr>
        <w:tc>
          <w:tcPr>
            <w:tcW w:type="dxa" w:w="2362"/>
            <w:shd w:val="clear" w:color="auto" w:fill="1E1A4B"/>
          </w:tcPr>
          <w:p>
            <w:pPr>
              <w:spacing w:before="20" w:after="20"/>
            </w:pPr>
            <w:r>
              <w:rPr>
                <w:rFonts w:ascii="Calibri" w:hAnsi="Calibri"/>
                <w:b/>
                <w:color w:val="FFFFFF"/>
                <w:sz w:val="20"/>
              </w:rPr>
              <w:t>Table</w:t>
            </w:r>
          </w:p>
        </w:tc>
        <w:tc>
          <w:tcPr>
            <w:tcW w:type="dxa" w:w="6664"/>
            <w:shd w:val="clear" w:color="auto" w:fill="1E1A4B"/>
          </w:tcPr>
          <w:p>
            <w:pPr>
              <w:spacing w:before="20" w:after="20"/>
            </w:pPr>
            <w:r>
              <w:rPr>
                <w:rFonts w:ascii="Calibri" w:hAnsi="Calibri"/>
                <w:b/>
                <w:color w:val="FFFFFF"/>
                <w:sz w:val="20"/>
              </w:rPr>
              <w:t>What it holds</w:t>
            </w:r>
          </w:p>
        </w:tc>
      </w:tr>
      <w:tr>
        <w:trPr>
          <w:cantSplit/>
        </w:trPr>
        <w:tc>
          <w:tcPr>
            <w:tcW w:type="dxa" w:w="2362"/>
            <w:shd w:val="clear" w:color="auto" w:fill="FFFFFF"/>
          </w:tcPr>
          <w:p>
            <w:pPr>
              <w:spacing w:before="20" w:after="20"/>
            </w:pPr>
            <w:r>
              <w:rPr>
                <w:rFonts w:ascii="Calibri" w:hAnsi="Calibri"/>
                <w:b/>
                <w:color w:val="333333"/>
                <w:sz w:val="18"/>
              </w:rPr>
              <w:t>area_ghana</w:t>
            </w:r>
          </w:p>
        </w:tc>
        <w:tc>
          <w:tcPr>
            <w:tcW w:type="dxa" w:w="6664"/>
            <w:shd w:val="clear" w:color="auto" w:fill="FFFFFF"/>
          </w:tcPr>
          <w:p>
            <w:pPr>
              <w:spacing w:before="20" w:after="20"/>
            </w:pPr>
            <w:r>
              <w:rPr>
                <w:rFonts w:ascii="Calibri" w:hAnsi="Calibri"/>
                <w:b w:val="0"/>
                <w:color w:val="333333"/>
                <w:sz w:val="18"/>
              </w:rPr>
              <w:t>The national outline. A single row.</w:t>
            </w:r>
          </w:p>
        </w:tc>
      </w:tr>
      <w:tr>
        <w:trPr>
          <w:cantSplit/>
        </w:trPr>
        <w:tc>
          <w:tcPr>
            <w:tcW w:type="dxa" w:w="2362"/>
            <w:shd w:val="clear" w:color="auto" w:fill="F0F0F8"/>
          </w:tcPr>
          <w:p>
            <w:pPr>
              <w:spacing w:before="20" w:after="20"/>
            </w:pPr>
            <w:r>
              <w:rPr>
                <w:rFonts w:ascii="Calibri" w:hAnsi="Calibri"/>
                <w:b/>
                <w:color w:val="333333"/>
                <w:sz w:val="18"/>
              </w:rPr>
              <w:t>area_region</w:t>
            </w:r>
          </w:p>
        </w:tc>
        <w:tc>
          <w:tcPr>
            <w:tcW w:type="dxa" w:w="6664"/>
            <w:shd w:val="clear" w:color="auto" w:fill="F0F0F8"/>
          </w:tcPr>
          <w:p>
            <w:pPr>
              <w:spacing w:before="20" w:after="20"/>
            </w:pPr>
            <w:r>
              <w:rPr>
                <w:rFonts w:ascii="Calibri" w:hAnsi="Calibri"/>
                <w:b w:val="0"/>
                <w:color w:val="333333"/>
                <w:sz w:val="18"/>
              </w:rPr>
              <w:t>The regions, with the region code used by the finance side of LUPMIS.</w:t>
            </w:r>
          </w:p>
        </w:tc>
      </w:tr>
      <w:tr>
        <w:trPr>
          <w:cantSplit/>
        </w:trPr>
        <w:tc>
          <w:tcPr>
            <w:tcW w:type="dxa" w:w="2362"/>
            <w:shd w:val="clear" w:color="auto" w:fill="FFFFFF"/>
          </w:tcPr>
          <w:p>
            <w:pPr>
              <w:spacing w:before="20" w:after="20"/>
            </w:pPr>
            <w:r>
              <w:rPr>
                <w:rFonts w:ascii="Calibri" w:hAnsi="Calibri"/>
                <w:b/>
                <w:color w:val="333333"/>
                <w:sz w:val="18"/>
              </w:rPr>
              <w:t>area_districts</w:t>
            </w:r>
          </w:p>
        </w:tc>
        <w:tc>
          <w:tcPr>
            <w:tcW w:type="dxa" w:w="6664"/>
            <w:shd w:val="clear" w:color="auto" w:fill="FFFFFF"/>
          </w:tcPr>
          <w:p>
            <w:pPr>
              <w:spacing w:before="20" w:after="20"/>
            </w:pPr>
            <w:r>
              <w:rPr>
                <w:rFonts w:ascii="Calibri" w:hAnsi="Calibri"/>
                <w:b w:val="0"/>
                <w:color w:val="333333"/>
                <w:sz w:val="18"/>
              </w:rPr>
              <w:t>District boundaries with districtid, district_name and regionid. The districtid here is the key almost everything else is scoped by.</w:t>
            </w:r>
          </w:p>
        </w:tc>
      </w:tr>
      <w:tr>
        <w:trPr>
          <w:cantSplit/>
        </w:trPr>
        <w:tc>
          <w:tcPr>
            <w:tcW w:type="dxa" w:w="2362"/>
            <w:shd w:val="clear" w:color="auto" w:fill="F0F0F8"/>
          </w:tcPr>
          <w:p>
            <w:pPr>
              <w:spacing w:before="20" w:after="20"/>
            </w:pPr>
            <w:r>
              <w:rPr>
                <w:rFonts w:ascii="Calibri" w:hAnsi="Calibri"/>
                <w:b/>
                <w:color w:val="333333"/>
                <w:sz w:val="18"/>
              </w:rPr>
              <w:t>area_collectorzones</w:t>
            </w:r>
          </w:p>
        </w:tc>
        <w:tc>
          <w:tcPr>
            <w:tcW w:type="dxa" w:w="6664"/>
            <w:shd w:val="clear" w:color="auto" w:fill="F0F0F8"/>
          </w:tcPr>
          <w:p>
            <w:pPr>
              <w:spacing w:before="20" w:after="20"/>
            </w:pPr>
            <w:r>
              <w:rPr>
                <w:rFonts w:ascii="Calibri" w:hAnsi="Calibri"/>
                <w:b w:val="0"/>
                <w:color w:val="333333"/>
                <w:sz w:val="18"/>
              </w:rPr>
              <w:t>Collector zones within a district, with the zone's display colour and centroid.</w:t>
            </w:r>
          </w:p>
        </w:tc>
      </w:tr>
      <w:tr>
        <w:trPr>
          <w:cantSplit/>
        </w:trPr>
        <w:tc>
          <w:tcPr>
            <w:tcW w:type="dxa" w:w="2362"/>
            <w:shd w:val="clear" w:color="auto" w:fill="FFFFFF"/>
          </w:tcPr>
          <w:p>
            <w:pPr>
              <w:spacing w:before="20" w:after="20"/>
            </w:pPr>
            <w:r>
              <w:rPr>
                <w:rFonts w:ascii="Calibri" w:hAnsi="Calibri"/>
                <w:b/>
                <w:color w:val="333333"/>
                <w:sz w:val="18"/>
              </w:rPr>
              <w:t>area_gra</w:t>
            </w:r>
          </w:p>
        </w:tc>
        <w:tc>
          <w:tcPr>
            <w:tcW w:type="dxa" w:w="6664"/>
            <w:shd w:val="clear" w:color="auto" w:fill="FFFFFF"/>
          </w:tcPr>
          <w:p>
            <w:pPr>
              <w:spacing w:before="20" w:after="20"/>
            </w:pPr>
            <w:r>
              <w:rPr>
                <w:rFonts w:ascii="Calibri" w:hAnsi="Calibri"/>
                <w:b w:val="0"/>
                <w:color w:val="333333"/>
                <w:sz w:val="18"/>
              </w:rPr>
              <w:t>Ghana Revenue Authority area offices and tax service centres.</w:t>
            </w:r>
          </w:p>
        </w:tc>
      </w:tr>
      <w:tr>
        <w:trPr>
          <w:cantSplit/>
        </w:trPr>
        <w:tc>
          <w:tcPr>
            <w:tcW w:type="dxa" w:w="2362"/>
            <w:shd w:val="clear" w:color="auto" w:fill="F0F0F8"/>
          </w:tcPr>
          <w:p>
            <w:pPr>
              <w:spacing w:before="20" w:after="20"/>
            </w:pPr>
            <w:r>
              <w:rPr>
                <w:rFonts w:ascii="Calibri" w:hAnsi="Calibri"/>
                <w:b/>
                <w:color w:val="333333"/>
                <w:sz w:val="18"/>
              </w:rPr>
              <w:t>be_contours_hillshade</w:t>
            </w:r>
          </w:p>
        </w:tc>
        <w:tc>
          <w:tcPr>
            <w:tcW w:type="dxa" w:w="6664"/>
            <w:shd w:val="clear" w:color="auto" w:fill="F0F0F8"/>
          </w:tcPr>
          <w:p>
            <w:pPr>
              <w:spacing w:before="20" w:after="20"/>
            </w:pPr>
            <w:r>
              <w:rPr>
                <w:rFonts w:ascii="Calibri" w:hAnsi="Calibri"/>
                <w:b w:val="0"/>
                <w:color w:val="333333"/>
                <w:sz w:val="18"/>
              </w:rPr>
              <w:t>Elevation contours, one row per line, with the elevation in metres in elev. Scoped by district. Derived from OpenTopography and Copernicus 30 m elevation models.</w:t>
            </w:r>
          </w:p>
        </w:tc>
      </w:tr>
      <w:tr>
        <w:trPr>
          <w:cantSplit/>
        </w:trPr>
        <w:tc>
          <w:tcPr>
            <w:tcW w:type="dxa" w:w="2362"/>
            <w:shd w:val="clear" w:color="auto" w:fill="FFFFFF"/>
          </w:tcPr>
          <w:p>
            <w:pPr>
              <w:spacing w:before="20" w:after="20"/>
            </w:pPr>
            <w:r>
              <w:rPr>
                <w:rFonts w:ascii="Calibri" w:hAnsi="Calibri"/>
                <w:b/>
                <w:color w:val="333333"/>
                <w:sz w:val="18"/>
              </w:rPr>
              <w:t>lu_parcels</w:t>
            </w:r>
          </w:p>
        </w:tc>
        <w:tc>
          <w:tcPr>
            <w:tcW w:type="dxa" w:w="6664"/>
            <w:shd w:val="clear" w:color="auto" w:fill="FFFFFF"/>
          </w:tcPr>
          <w:p>
            <w:pPr>
              <w:spacing w:before="20" w:after="20"/>
            </w:pPr>
            <w:r>
              <w:rPr>
                <w:rFonts w:ascii="Calibri" w:hAnsi="Calibri"/>
                <w:b w:val="0"/>
                <w:color w:val="333333"/>
                <w:sz w:val="18"/>
              </w:rPr>
              <w:t>The current parcel table and the centre of the whole schema: UPN, land use, zoning, address, height limits, and geometry in both WGS 84 and UTM.</w:t>
            </w:r>
          </w:p>
        </w:tc>
      </w:tr>
      <w:tr>
        <w:trPr>
          <w:cantSplit/>
        </w:trPr>
        <w:tc>
          <w:tcPr>
            <w:tcW w:type="dxa" w:w="2362"/>
            <w:shd w:val="clear" w:color="auto" w:fill="F0F0F8"/>
          </w:tcPr>
          <w:p>
            <w:pPr>
              <w:spacing w:before="20" w:after="20"/>
            </w:pPr>
            <w:r>
              <w:rPr>
                <w:rFonts w:ascii="Calibri" w:hAnsi="Calibri"/>
                <w:b/>
                <w:color w:val="333333"/>
                <w:sz w:val="18"/>
              </w:rPr>
              <w:t>lu_parcels_upload_tmp</w:t>
            </w:r>
          </w:p>
        </w:tc>
        <w:tc>
          <w:tcPr>
            <w:tcW w:type="dxa" w:w="6664"/>
            <w:shd w:val="clear" w:color="auto" w:fill="F0F0F8"/>
          </w:tcPr>
          <w:p>
            <w:pPr>
              <w:spacing w:before="20" w:after="20"/>
            </w:pPr>
            <w:r>
              <w:rPr>
                <w:rFonts w:ascii="Calibri" w:hAnsi="Calibri"/>
                <w:b w:val="0"/>
                <w:color w:val="333333"/>
                <w:sz w:val="18"/>
              </w:rPr>
              <w:t>Staging for parcels uploaded from the field. Adds the device-generated client_uuid, who uploaded and who reviewed, review timestamps, and a migrated flag.</w:t>
            </w:r>
          </w:p>
        </w:tc>
      </w:tr>
      <w:tr>
        <w:trPr>
          <w:cantSplit/>
        </w:trPr>
        <w:tc>
          <w:tcPr>
            <w:tcW w:type="dxa" w:w="2362"/>
            <w:shd w:val="clear" w:color="auto" w:fill="FFFFFF"/>
          </w:tcPr>
          <w:p>
            <w:pPr>
              <w:spacing w:before="20" w:after="20"/>
            </w:pPr>
            <w:r>
              <w:rPr>
                <w:rFonts w:ascii="Calibri" w:hAnsi="Calibri"/>
                <w:b/>
                <w:color w:val="333333"/>
                <w:sz w:val="18"/>
              </w:rPr>
              <w:t>lu_parcels0, lu_parcels00, lu_parcels000, lu_parcels1, lu_parcels2, lu_parcels_colours</w:t>
            </w:r>
          </w:p>
        </w:tc>
        <w:tc>
          <w:tcPr>
            <w:tcW w:type="dxa" w:w="6664"/>
            <w:shd w:val="clear" w:color="auto" w:fill="FFFFFF"/>
          </w:tcPr>
          <w:p>
            <w:pPr>
              <w:spacing w:before="20" w:after="20"/>
            </w:pPr>
            <w:r>
              <w:rPr>
                <w:rFonts w:ascii="Calibri" w:hAnsi="Calibri"/>
                <w:b w:val="0"/>
                <w:color w:val="333333"/>
                <w:sz w:val="18"/>
              </w:rPr>
              <w:t>Six earlier generations of the parcel table, retained from previous migrations. Mixed-case column names and sp_boundary geometry mark them as superseded.</w:t>
            </w:r>
          </w:p>
        </w:tc>
      </w:tr>
      <w:tr>
        <w:trPr>
          <w:cantSplit/>
        </w:trPr>
        <w:tc>
          <w:tcPr>
            <w:tcW w:type="dxa" w:w="2362"/>
            <w:shd w:val="clear" w:color="auto" w:fill="F0F0F8"/>
          </w:tcPr>
          <w:p>
            <w:pPr>
              <w:spacing w:before="20" w:after="20"/>
            </w:pPr>
            <w:r>
              <w:rPr>
                <w:rFonts w:ascii="Calibri" w:hAnsi="Calibri"/>
                <w:b/>
                <w:color w:val="333333"/>
                <w:sz w:val="18"/>
              </w:rPr>
              <w:t>lu_buildings</w:t>
            </w:r>
          </w:p>
        </w:tc>
        <w:tc>
          <w:tcPr>
            <w:tcW w:type="dxa" w:w="6664"/>
            <w:shd w:val="clear" w:color="auto" w:fill="F0F0F8"/>
          </w:tcPr>
          <w:p>
            <w:pPr>
              <w:spacing w:before="20" w:after="20"/>
            </w:pPr>
            <w:r>
              <w:rPr>
                <w:rFonts w:ascii="Calibri" w:hAnsi="Calibri"/>
                <w:b w:val="0"/>
                <w:color w:val="333333"/>
                <w:sz w:val="18"/>
              </w:rPr>
              <w:t>Building footprints tied to a parcel's UPN, with a flag for whether the footprint falls inside its parcel.</w:t>
            </w:r>
          </w:p>
        </w:tc>
      </w:tr>
      <w:tr>
        <w:trPr>
          <w:cantSplit/>
        </w:trPr>
        <w:tc>
          <w:tcPr>
            <w:tcW w:type="dxa" w:w="2362"/>
            <w:shd w:val="clear" w:color="auto" w:fill="FFFFFF"/>
          </w:tcPr>
          <w:p>
            <w:pPr>
              <w:spacing w:before="20" w:after="20"/>
            </w:pPr>
            <w:r>
              <w:rPr>
                <w:rFonts w:ascii="Calibri" w:hAnsi="Calibri"/>
                <w:b/>
                <w:color w:val="333333"/>
                <w:sz w:val="18"/>
              </w:rPr>
              <w:t>lu_agric</w:t>
            </w:r>
          </w:p>
        </w:tc>
        <w:tc>
          <w:tcPr>
            <w:tcW w:type="dxa" w:w="6664"/>
            <w:shd w:val="clear" w:color="auto" w:fill="FFFFFF"/>
          </w:tcPr>
          <w:p>
            <w:pPr>
              <w:spacing w:before="20" w:after="20"/>
            </w:pPr>
            <w:r>
              <w:rPr>
                <w:rFonts w:ascii="Calibri" w:hAnsi="Calibri"/>
                <w:b w:val="0"/>
                <w:color w:val="333333"/>
                <w:sz w:val="18"/>
              </w:rPr>
              <w:t>Agricultural land use, held as point, boundary and centroid geometry.</w:t>
            </w:r>
          </w:p>
        </w:tc>
      </w:tr>
      <w:tr>
        <w:trPr>
          <w:cantSplit/>
        </w:trPr>
        <w:tc>
          <w:tcPr>
            <w:tcW w:type="dxa" w:w="2362"/>
            <w:shd w:val="clear" w:color="auto" w:fill="F0F0F8"/>
          </w:tcPr>
          <w:p>
            <w:pPr>
              <w:spacing w:before="20" w:after="20"/>
            </w:pPr>
            <w:r>
              <w:rPr>
                <w:rFonts w:ascii="Calibri" w:hAnsi="Calibri"/>
                <w:b/>
                <w:color w:val="333333"/>
                <w:sz w:val="18"/>
              </w:rPr>
              <w:t>pi_osm_roads</w:t>
            </w:r>
          </w:p>
        </w:tc>
        <w:tc>
          <w:tcPr>
            <w:tcW w:type="dxa" w:w="6664"/>
            <w:shd w:val="clear" w:color="auto" w:fill="F0F0F8"/>
          </w:tcPr>
          <w:p>
            <w:pPr>
              <w:spacing w:before="20" w:after="20"/>
            </w:pPr>
            <w:r>
              <w:rPr>
                <w:rFonts w:ascii="Calibri" w:hAnsi="Calibri"/>
                <w:b w:val="0"/>
                <w:color w:val="333333"/>
                <w:sz w:val="18"/>
              </w:rPr>
              <w:t>The road network from OpenStreetMap, scoped by district. Carries the road classification in fclass, plus name, surface and one-way status.</w:t>
            </w:r>
          </w:p>
        </w:tc>
      </w:tr>
      <w:tr>
        <w:trPr>
          <w:cantSplit/>
        </w:trPr>
        <w:tc>
          <w:tcPr>
            <w:tcW w:type="dxa" w:w="2362"/>
            <w:shd w:val="clear" w:color="auto" w:fill="FFFFFF"/>
          </w:tcPr>
          <w:p>
            <w:pPr>
              <w:spacing w:before="20" w:after="20"/>
            </w:pPr>
            <w:r>
              <w:rPr>
                <w:rFonts w:ascii="Calibri" w:hAnsi="Calibri"/>
                <w:b/>
                <w:color w:val="333333"/>
                <w:sz w:val="18"/>
              </w:rPr>
              <w:t>pi_osm_roads_highway</w:t>
            </w:r>
          </w:p>
        </w:tc>
        <w:tc>
          <w:tcPr>
            <w:tcW w:type="dxa" w:w="6664"/>
            <w:shd w:val="clear" w:color="auto" w:fill="FFFFFF"/>
          </w:tcPr>
          <w:p>
            <w:pPr>
              <w:spacing w:before="20" w:after="20"/>
            </w:pPr>
            <w:r>
              <w:rPr>
                <w:rFonts w:ascii="Calibri" w:hAnsi="Calibri"/>
                <w:b w:val="0"/>
                <w:color w:val="333333"/>
                <w:sz w:val="18"/>
              </w:rPr>
              <w:t>The full OpenStreetMap tag set in osm2pgsql layout — 70 columns including highway, geometry in way.</w:t>
            </w:r>
          </w:p>
        </w:tc>
      </w:tr>
      <w:tr>
        <w:trPr>
          <w:cantSplit/>
        </w:trPr>
        <w:tc>
          <w:tcPr>
            <w:tcW w:type="dxa" w:w="2362"/>
            <w:shd w:val="clear" w:color="auto" w:fill="F0F0F8"/>
          </w:tcPr>
          <w:p>
            <w:pPr>
              <w:spacing w:before="20" w:after="20"/>
            </w:pPr>
            <w:r>
              <w:rPr>
                <w:rFonts w:ascii="Calibri" w:hAnsi="Calibri"/>
                <w:b/>
                <w:color w:val="333333"/>
                <w:sz w:val="18"/>
              </w:rPr>
              <w:t>pi_buildings</w:t>
            </w:r>
          </w:p>
        </w:tc>
        <w:tc>
          <w:tcPr>
            <w:tcW w:type="dxa" w:w="6664"/>
            <w:shd w:val="clear" w:color="auto" w:fill="F0F0F8"/>
          </w:tcPr>
          <w:p>
            <w:pPr>
              <w:spacing w:before="20" w:after="20"/>
            </w:pPr>
            <w:r>
              <w:rPr>
                <w:rFonts w:ascii="Calibri" w:hAnsi="Calibri"/>
                <w:b w:val="0"/>
                <w:color w:val="333333"/>
                <w:sz w:val="18"/>
              </w:rPr>
              <w:t>Building features with type, storeys, height and floor area.</w:t>
            </w:r>
          </w:p>
        </w:tc>
      </w:tr>
      <w:tr>
        <w:trPr>
          <w:cantSplit/>
        </w:trPr>
        <w:tc>
          <w:tcPr>
            <w:tcW w:type="dxa" w:w="2362"/>
            <w:shd w:val="clear" w:color="auto" w:fill="FFFFFF"/>
          </w:tcPr>
          <w:p>
            <w:pPr>
              <w:spacing w:before="20" w:after="20"/>
            </w:pPr>
            <w:r>
              <w:rPr>
                <w:rFonts w:ascii="Calibri" w:hAnsi="Calibri"/>
                <w:b/>
                <w:color w:val="333333"/>
                <w:sz w:val="18"/>
              </w:rPr>
              <w:t>scs_facilities</w:t>
            </w:r>
          </w:p>
        </w:tc>
        <w:tc>
          <w:tcPr>
            <w:tcW w:type="dxa" w:w="6664"/>
            <w:shd w:val="clear" w:color="auto" w:fill="FFFFFF"/>
          </w:tcPr>
          <w:p>
            <w:pPr>
              <w:spacing w:before="20" w:after="20"/>
            </w:pPr>
            <w:r>
              <w:rPr>
                <w:rFonts w:ascii="Calibri" w:hAnsi="Calibri"/>
                <w:b w:val="0"/>
                <w:color w:val="333333"/>
                <w:sz w:val="18"/>
              </w:rPr>
              <w:t>Social and community facilities generally, classified by fclass and scoped by region and district.</w:t>
            </w:r>
          </w:p>
        </w:tc>
      </w:tr>
      <w:tr>
        <w:trPr>
          <w:cantSplit/>
        </w:trPr>
        <w:tc>
          <w:tcPr>
            <w:tcW w:type="dxa" w:w="2362"/>
            <w:shd w:val="clear" w:color="auto" w:fill="F0F0F8"/>
          </w:tcPr>
          <w:p>
            <w:pPr>
              <w:spacing w:before="20" w:after="20"/>
            </w:pPr>
            <w:r>
              <w:rPr>
                <w:rFonts w:ascii="Calibri" w:hAnsi="Calibri"/>
                <w:b/>
                <w:color w:val="333333"/>
                <w:sz w:val="18"/>
              </w:rPr>
              <w:t>scs_fac_education</w:t>
            </w:r>
          </w:p>
        </w:tc>
        <w:tc>
          <w:tcPr>
            <w:tcW w:type="dxa" w:w="6664"/>
            <w:shd w:val="clear" w:color="auto" w:fill="F0F0F8"/>
          </w:tcPr>
          <w:p>
            <w:pPr>
              <w:spacing w:before="20" w:after="20"/>
            </w:pPr>
            <w:r>
              <w:rPr>
                <w:rFonts w:ascii="Calibri" w:hAnsi="Calibri"/>
                <w:b w:val="0"/>
                <w:color w:val="333333"/>
                <w:sz w:val="18"/>
              </w:rPr>
              <w:t>Schools, with enrolment, streams, classrooms, teaching and non-teaching staff, water source, sanitation and condition.</w:t>
            </w:r>
          </w:p>
        </w:tc>
      </w:tr>
      <w:tr>
        <w:trPr>
          <w:cantSplit/>
        </w:trPr>
        <w:tc>
          <w:tcPr>
            <w:tcW w:type="dxa" w:w="2362"/>
            <w:shd w:val="clear" w:color="auto" w:fill="FFFFFF"/>
          </w:tcPr>
          <w:p>
            <w:pPr>
              <w:spacing w:before="20" w:after="20"/>
            </w:pPr>
            <w:r>
              <w:rPr>
                <w:rFonts w:ascii="Calibri" w:hAnsi="Calibri"/>
                <w:b/>
                <w:color w:val="333333"/>
                <w:sz w:val="18"/>
              </w:rPr>
              <w:t>scs_fac_health</w:t>
            </w:r>
          </w:p>
        </w:tc>
        <w:tc>
          <w:tcPr>
            <w:tcW w:type="dxa" w:w="6664"/>
            <w:shd w:val="clear" w:color="auto" w:fill="FFFFFF"/>
          </w:tcPr>
          <w:p>
            <w:pPr>
              <w:spacing w:before="20" w:after="20"/>
            </w:pPr>
            <w:r>
              <w:rPr>
                <w:rFonts w:ascii="Calibri" w:hAnsi="Calibri"/>
                <w:b w:val="0"/>
                <w:color w:val="333333"/>
                <w:sz w:val="18"/>
              </w:rPr>
              <w:t>Health facilities, with beds, doctors, nurses, outpatient availability, cold-chain equipment and power source.</w:t>
            </w:r>
          </w:p>
        </w:tc>
      </w:tr>
      <w:tr>
        <w:trPr>
          <w:cantSplit/>
        </w:trPr>
        <w:tc>
          <w:tcPr>
            <w:tcW w:type="dxa" w:w="2362"/>
            <w:shd w:val="clear" w:color="auto" w:fill="F0F0F8"/>
          </w:tcPr>
          <w:p>
            <w:pPr>
              <w:spacing w:before="20" w:after="20"/>
            </w:pPr>
            <w:r>
              <w:rPr>
                <w:rFonts w:ascii="Calibri" w:hAnsi="Calibri"/>
                <w:b/>
                <w:color w:val="333333"/>
                <w:sz w:val="18"/>
              </w:rPr>
              <w:t>gh_upn_grid</w:t>
            </w:r>
          </w:p>
        </w:tc>
        <w:tc>
          <w:tcPr>
            <w:tcW w:type="dxa" w:w="6664"/>
            <w:shd w:val="clear" w:color="auto" w:fill="F0F0F8"/>
          </w:tcPr>
          <w:p>
            <w:pPr>
              <w:spacing w:before="20" w:after="20"/>
            </w:pPr>
            <w:r>
              <w:rPr>
                <w:rFonts w:ascii="Calibri" w:hAnsi="Calibri"/>
                <w:b w:val="0"/>
                <w:color w:val="333333"/>
                <w:sz w:val="18"/>
              </w:rPr>
              <w:t>The Unique Parcel Number grid. Each cell carries its prefix and a last_serial counter, from which the next UPN in that cell is issued.</w:t>
            </w:r>
          </w:p>
        </w:tc>
      </w:tr>
      <w:tr>
        <w:trPr>
          <w:cantSplit/>
        </w:trPr>
        <w:tc>
          <w:tcPr>
            <w:tcW w:type="dxa" w:w="2362"/>
            <w:shd w:val="clear" w:color="auto" w:fill="FFFFFF"/>
          </w:tcPr>
          <w:p>
            <w:pPr>
              <w:spacing w:before="20" w:after="20"/>
            </w:pPr>
            <w:r>
              <w:rPr>
                <w:rFonts w:ascii="Calibri" w:hAnsi="Calibri"/>
                <w:b/>
                <w:color w:val="333333"/>
                <w:sz w:val="18"/>
              </w:rPr>
              <w:t>hlp_broad_lu_colours</w:t>
            </w:r>
          </w:p>
        </w:tc>
        <w:tc>
          <w:tcPr>
            <w:tcW w:type="dxa" w:w="6664"/>
            <w:shd w:val="clear" w:color="auto" w:fill="FFFFFF"/>
          </w:tcPr>
          <w:p>
            <w:pPr>
              <w:spacing w:before="20" w:after="20"/>
            </w:pPr>
            <w:r>
              <w:rPr>
                <w:rFonts w:ascii="Calibri" w:hAnsi="Calibri"/>
                <w:b w:val="0"/>
                <w:color w:val="333333"/>
                <w:sz w:val="18"/>
              </w:rPr>
              <w:t>Lookup from broad land-use class to display colour, as separate RGB components and as hex.</w:t>
            </w:r>
          </w:p>
        </w:tc>
      </w:tr>
      <w:tr>
        <w:trPr>
          <w:cantSplit/>
        </w:trPr>
        <w:tc>
          <w:tcPr>
            <w:tcW w:type="dxa" w:w="2362"/>
            <w:shd w:val="clear" w:color="auto" w:fill="F0F0F8"/>
          </w:tcPr>
          <w:p>
            <w:pPr>
              <w:spacing w:before="20" w:after="20"/>
            </w:pPr>
            <w:r>
              <w:rPr>
                <w:rFonts w:ascii="Calibri" w:hAnsi="Calibri"/>
                <w:b/>
                <w:color w:val="333333"/>
                <w:sz w:val="18"/>
              </w:rPr>
              <w:t>lay_layers</w:t>
            </w:r>
          </w:p>
        </w:tc>
        <w:tc>
          <w:tcPr>
            <w:tcW w:type="dxa" w:w="6664"/>
            <w:shd w:val="clear" w:color="auto" w:fill="F0F0F8"/>
          </w:tcPr>
          <w:p>
            <w:pPr>
              <w:spacing w:before="20" w:after="20"/>
            </w:pPr>
            <w:r>
              <w:rPr>
                <w:rFonts w:ascii="Calibri" w:hAnsi="Calibri"/>
                <w:b w:val="0"/>
                <w:color w:val="333333"/>
                <w:sz w:val="18"/>
              </w:rPr>
              <w:t>The layer registry: the groups that structure the layer switcher in the application.</w:t>
            </w:r>
          </w:p>
        </w:tc>
      </w:tr>
      <w:tr>
        <w:trPr>
          <w:cantSplit/>
        </w:trPr>
        <w:tc>
          <w:tcPr>
            <w:tcW w:type="dxa" w:w="2362"/>
            <w:shd w:val="clear" w:color="auto" w:fill="FFFFFF"/>
          </w:tcPr>
          <w:p>
            <w:pPr>
              <w:spacing w:before="20" w:after="20"/>
            </w:pPr>
            <w:r>
              <w:rPr>
                <w:rFonts w:ascii="Calibri" w:hAnsi="Calibri"/>
                <w:b/>
                <w:color w:val="333333"/>
                <w:sz w:val="18"/>
              </w:rPr>
              <w:t>osm_roads</w:t>
            </w:r>
          </w:p>
        </w:tc>
        <w:tc>
          <w:tcPr>
            <w:tcW w:type="dxa" w:w="6664"/>
            <w:shd w:val="clear" w:color="auto" w:fill="FFFFFF"/>
          </w:tcPr>
          <w:p>
            <w:pPr>
              <w:spacing w:before="20" w:after="20"/>
            </w:pPr>
            <w:r>
              <w:rPr>
                <w:rFonts w:ascii="Calibri" w:hAnsi="Calibri"/>
                <w:b w:val="0"/>
                <w:color w:val="333333"/>
                <w:sz w:val="18"/>
              </w:rPr>
              <w:t>An earlier OpenStreetMap roads import, scoped by district and zone.</w:t>
            </w:r>
          </w:p>
        </w:tc>
      </w:tr>
      <w:tr>
        <w:trPr>
          <w:cantSplit/>
        </w:trPr>
        <w:tc>
          <w:tcPr>
            <w:tcW w:type="dxa" w:w="2362"/>
            <w:shd w:val="clear" w:color="auto" w:fill="F0F0F8"/>
          </w:tcPr>
          <w:p>
            <w:pPr>
              <w:spacing w:before="20" w:after="20"/>
            </w:pPr>
            <w:r>
              <w:rPr>
                <w:rFonts w:ascii="Calibri" w:hAnsi="Calibri"/>
                <w:b/>
                <w:color w:val="333333"/>
                <w:sz w:val="18"/>
              </w:rPr>
              <w:t>gis_osm_roads20260519</w:t>
            </w:r>
          </w:p>
        </w:tc>
        <w:tc>
          <w:tcPr>
            <w:tcW w:type="dxa" w:w="6664"/>
            <w:shd w:val="clear" w:color="auto" w:fill="F0F0F8"/>
          </w:tcPr>
          <w:p>
            <w:pPr>
              <w:spacing w:before="20" w:after="20"/>
            </w:pPr>
            <w:r>
              <w:rPr>
                <w:rFonts w:ascii="Calibri" w:hAnsi="Calibri"/>
                <w:b w:val="0"/>
                <w:color w:val="333333"/>
                <w:sz w:val="18"/>
              </w:rPr>
              <w:t>A dated snapshot of an OpenStreetMap roads import taken on 19 May 2026.</w:t>
            </w:r>
          </w:p>
        </w:tc>
      </w:tr>
      <w:tr>
        <w:trPr>
          <w:cantSplit/>
        </w:trPr>
        <w:tc>
          <w:tcPr>
            <w:tcW w:type="dxa" w:w="2362"/>
            <w:shd w:val="clear" w:color="auto" w:fill="FFFFFF"/>
          </w:tcPr>
          <w:p>
            <w:pPr>
              <w:spacing w:before="20" w:after="20"/>
            </w:pPr>
            <w:r>
              <w:rPr>
                <w:rFonts w:ascii="Calibri" w:hAnsi="Calibri"/>
                <w:b/>
                <w:color w:val="333333"/>
                <w:sz w:val="18"/>
              </w:rPr>
              <w:t>buildings</w:t>
            </w:r>
          </w:p>
        </w:tc>
        <w:tc>
          <w:tcPr>
            <w:tcW w:type="dxa" w:w="6664"/>
            <w:shd w:val="clear" w:color="auto" w:fill="FFFFFF"/>
          </w:tcPr>
          <w:p>
            <w:pPr>
              <w:spacing w:before="20" w:after="20"/>
            </w:pPr>
            <w:r>
              <w:rPr>
                <w:rFonts w:ascii="Calibri" w:hAnsi="Calibri"/>
                <w:b w:val="0"/>
                <w:color w:val="333333"/>
                <w:sz w:val="18"/>
              </w:rPr>
              <w:t>Same column set as pi_buildings.</w:t>
            </w:r>
          </w:p>
        </w:tc>
      </w:tr>
      <w:tr>
        <w:trPr>
          <w:cantSplit/>
        </w:trPr>
        <w:tc>
          <w:tcPr>
            <w:tcW w:type="dxa" w:w="2362"/>
            <w:shd w:val="clear" w:color="auto" w:fill="F0F0F8"/>
          </w:tcPr>
          <w:p>
            <w:pPr>
              <w:spacing w:before="20" w:after="20"/>
            </w:pPr>
            <w:r>
              <w:rPr>
                <w:rFonts w:ascii="Calibri" w:hAnsi="Calibri"/>
                <w:b/>
                <w:color w:val="333333"/>
                <w:sz w:val="18"/>
              </w:rPr>
              <w:t>parcels</w:t>
            </w:r>
          </w:p>
        </w:tc>
        <w:tc>
          <w:tcPr>
            <w:tcW w:type="dxa" w:w="6664"/>
            <w:shd w:val="clear" w:color="auto" w:fill="F0F0F8"/>
          </w:tcPr>
          <w:p>
            <w:pPr>
              <w:spacing w:before="20" w:after="20"/>
            </w:pPr>
            <w:r>
              <w:rPr>
                <w:rFonts w:ascii="Calibri" w:hAnsi="Calibri"/>
                <w:b w:val="0"/>
                <w:color w:val="333333"/>
                <w:sz w:val="18"/>
              </w:rPr>
              <w:t>A parcel table in a non-Ghanaian layout — assessor's parcel number, city, state, postal code, county, and areas in square feet and acres.</w:t>
            </w:r>
          </w:p>
        </w:tc>
      </w:tr>
      <w:tr>
        <w:trPr>
          <w:cantSplit/>
        </w:trPr>
        <w:tc>
          <w:tcPr>
            <w:tcW w:type="dxa" w:w="2362"/>
            <w:shd w:val="clear" w:color="auto" w:fill="FFFFFF"/>
          </w:tcPr>
          <w:p>
            <w:pPr>
              <w:spacing w:before="20" w:after="20"/>
            </w:pPr>
            <w:r>
              <w:rPr>
                <w:rFonts w:ascii="Calibri" w:hAnsi="Calibri"/>
                <w:b/>
                <w:color w:val="333333"/>
                <w:sz w:val="18"/>
              </w:rPr>
              <w:t>zoning_districts</w:t>
            </w:r>
          </w:p>
        </w:tc>
        <w:tc>
          <w:tcPr>
            <w:tcW w:type="dxa" w:w="6664"/>
            <w:shd w:val="clear" w:color="auto" w:fill="FFFFFF"/>
          </w:tcPr>
          <w:p>
            <w:pPr>
              <w:spacing w:before="20" w:after="20"/>
            </w:pPr>
            <w:r>
              <w:rPr>
                <w:rFonts w:ascii="Calibri" w:hAnsi="Calibri"/>
                <w:b w:val="0"/>
                <w:color w:val="333333"/>
                <w:sz w:val="18"/>
              </w:rPr>
              <w:t>Zoning districts with a zone code and an ordinance number.</w:t>
            </w:r>
          </w:p>
        </w:tc>
      </w:tr>
      <w:tr>
        <w:trPr>
          <w:cantSplit/>
        </w:trPr>
        <w:tc>
          <w:tcPr>
            <w:tcW w:type="dxa" w:w="2362"/>
            <w:shd w:val="clear" w:color="auto" w:fill="F0F0F8"/>
          </w:tcPr>
          <w:p>
            <w:pPr>
              <w:spacing w:before="20" w:after="20"/>
            </w:pPr>
            <w:r>
              <w:rPr>
                <w:rFonts w:ascii="Calibri" w:hAnsi="Calibri"/>
                <w:b/>
                <w:color w:val="333333"/>
                <w:sz w:val="18"/>
              </w:rPr>
              <w:t>overlay_districts</w:t>
            </w:r>
          </w:p>
        </w:tc>
        <w:tc>
          <w:tcPr>
            <w:tcW w:type="dxa" w:w="6664"/>
            <w:shd w:val="clear" w:color="auto" w:fill="F0F0F8"/>
          </w:tcPr>
          <w:p>
            <w:pPr>
              <w:spacing w:before="20" w:after="20"/>
            </w:pPr>
            <w:r>
              <w:rPr>
                <w:rFonts w:ascii="Calibri" w:hAnsi="Calibri"/>
                <w:b w:val="0"/>
                <w:color w:val="333333"/>
                <w:sz w:val="18"/>
              </w:rPr>
              <w:t>Overlay zoning districts, with ordinance number and effective and expiry dates.</w:t>
            </w:r>
          </w:p>
        </w:tc>
      </w:tr>
      <w:tr>
        <w:trPr>
          <w:cantSplit/>
        </w:trPr>
        <w:tc>
          <w:tcPr>
            <w:tcW w:type="dxa" w:w="2362"/>
            <w:shd w:val="clear" w:color="auto" w:fill="FFFFFF"/>
          </w:tcPr>
          <w:p>
            <w:pPr>
              <w:spacing w:before="20" w:after="20"/>
            </w:pPr>
            <w:r>
              <w:rPr>
                <w:rFonts w:ascii="Calibri" w:hAnsi="Calibri"/>
                <w:b/>
                <w:color w:val="333333"/>
                <w:sz w:val="18"/>
              </w:rPr>
              <w:t>environmental_constraints</w:t>
            </w:r>
          </w:p>
        </w:tc>
        <w:tc>
          <w:tcPr>
            <w:tcW w:type="dxa" w:w="6664"/>
            <w:shd w:val="clear" w:color="auto" w:fill="FFFFFF"/>
          </w:tcPr>
          <w:p>
            <w:pPr>
              <w:spacing w:before="20" w:after="20"/>
            </w:pPr>
            <w:r>
              <w:rPr>
                <w:rFonts w:ascii="Calibri" w:hAnsi="Calibri"/>
                <w:b w:val="0"/>
                <w:color w:val="333333"/>
                <w:sz w:val="18"/>
              </w:rPr>
              <w:t>Environmental constraint areas, with constraint type, source and effective date.</w:t>
            </w:r>
          </w:p>
        </w:tc>
      </w:tr>
    </w:tbl>
    <w:p>
      <w:pPr>
        <w:spacing w:after="120"/>
      </w:pPr>
    </w:p>
    <w:p>
      <w:pPr>
        <w:pStyle w:val="berschrift1"/>
        <w:spacing w:after="120" w:before="280"/>
      </w:pPr>
      <w:r>
        <w:t>6. The permit schema</w:t>
      </w:r>
    </w:p>
    <w:p>
      <w:pPr>
        <w:spacing w:after="120"/>
      </w:pPr>
      <w:r>
        <w:rPr>
          <w:rFonts w:ascii="Calibri" w:hAnsi="Calibri"/>
          <w:color w:val="333333"/>
          <w:sz w:val="22"/>
        </w:rPr>
        <w:t>Ten tables covering two application types — ordinary development permits and mining permits — with a shared applicant register. Several tables carry both a server id and a client_generated_id, and a synced_at timestamp, because applications can be captured offline and reconciled later.</w:t>
      </w:r>
    </w:p>
    <w:tbl>
      <w:tblPr>
        <w:tblW w:type="auto" w:w="0"/>
        <w:jc w:val="left"/>
        <w:tblLayout w:type="fixed"/>
        <w:tblLook w:firstColumn="1" w:firstRow="1" w:lastColumn="0" w:lastRow="0" w:noHBand="0" w:noVBand="1" w:val="04A0"/>
        <w:tblBorders>
          <w:top w:val="single" w:sz="4" w:space="0" w:color="D9D9E3"/>
          <w:left w:val="single" w:sz="4" w:space="0" w:color="D9D9E3"/>
          <w:bottom w:val="single" w:sz="4" w:space="0" w:color="D9D9E3"/>
          <w:right w:val="single" w:sz="4" w:space="0" w:color="D9D9E3"/>
          <w:insideH w:val="single" w:sz="4" w:space="0" w:color="D9D9E3"/>
          <w:insideV w:val="single" w:sz="4" w:space="0" w:color="D9D9E3"/>
        </w:tblBorders>
        <w:tblLayout w:type="fixed"/>
        <w:tblW w:w="9026" w:type="dxa"/>
      </w:tblPr>
      <w:tblGrid>
        <w:gridCol w:w="2362"/>
        <w:gridCol w:w="6663"/>
      </w:tblGrid>
      <w:tr>
        <w:trPr>
          <w:tblHeader/>
          <w:cantSplit/>
        </w:trPr>
        <w:tc>
          <w:tcPr>
            <w:tcW w:type="dxa" w:w="2362"/>
            <w:shd w:val="clear" w:color="auto" w:fill="1E1A4B"/>
          </w:tcPr>
          <w:p>
            <w:pPr>
              <w:spacing w:before="20" w:after="20"/>
            </w:pPr>
            <w:r>
              <w:rPr>
                <w:rFonts w:ascii="Calibri" w:hAnsi="Calibri"/>
                <w:b/>
                <w:color w:val="FFFFFF"/>
                <w:sz w:val="20"/>
              </w:rPr>
              <w:t>Table</w:t>
            </w:r>
          </w:p>
        </w:tc>
        <w:tc>
          <w:tcPr>
            <w:tcW w:type="dxa" w:w="6664"/>
            <w:shd w:val="clear" w:color="auto" w:fill="1E1A4B"/>
          </w:tcPr>
          <w:p>
            <w:pPr>
              <w:spacing w:before="20" w:after="20"/>
            </w:pPr>
            <w:r>
              <w:rPr>
                <w:rFonts w:ascii="Calibri" w:hAnsi="Calibri"/>
                <w:b/>
                <w:color w:val="FFFFFF"/>
                <w:sz w:val="20"/>
              </w:rPr>
              <w:t>What it holds</w:t>
            </w:r>
          </w:p>
        </w:tc>
      </w:tr>
      <w:tr>
        <w:trPr>
          <w:cantSplit/>
        </w:trPr>
        <w:tc>
          <w:tcPr>
            <w:tcW w:type="dxa" w:w="2362"/>
            <w:shd w:val="clear" w:color="auto" w:fill="FFFFFF"/>
          </w:tcPr>
          <w:p>
            <w:pPr>
              <w:spacing w:before="20" w:after="20"/>
            </w:pPr>
            <w:r>
              <w:rPr>
                <w:rFonts w:ascii="Calibri" w:hAnsi="Calibri"/>
                <w:b/>
                <w:color w:val="333333"/>
                <w:sz w:val="18"/>
              </w:rPr>
              <w:t>applicants</w:t>
            </w:r>
          </w:p>
        </w:tc>
        <w:tc>
          <w:tcPr>
            <w:tcW w:type="dxa" w:w="6664"/>
            <w:shd w:val="clear" w:color="auto" w:fill="FFFFFF"/>
          </w:tcPr>
          <w:p>
            <w:pPr>
              <w:spacing w:before="20" w:after="20"/>
            </w:pPr>
            <w:r>
              <w:rPr>
                <w:rFonts w:ascii="Calibri" w:hAnsi="Calibri"/>
                <w:b w:val="0"/>
                <w:color w:val="333333"/>
                <w:sz w:val="18"/>
              </w:rPr>
              <w:t>The applicant register: individual or organisation, contact details, national identification, and group-application members.</w:t>
            </w:r>
          </w:p>
        </w:tc>
      </w:tr>
      <w:tr>
        <w:trPr>
          <w:cantSplit/>
        </w:trPr>
        <w:tc>
          <w:tcPr>
            <w:tcW w:type="dxa" w:w="2362"/>
            <w:shd w:val="clear" w:color="auto" w:fill="F0F0F8"/>
          </w:tcPr>
          <w:p>
            <w:pPr>
              <w:spacing w:before="20" w:after="20"/>
            </w:pPr>
            <w:r>
              <w:rPr>
                <w:rFonts w:ascii="Calibri" w:hAnsi="Calibri"/>
                <w:b/>
                <w:color w:val="333333"/>
                <w:sz w:val="18"/>
              </w:rPr>
              <w:t>applications</w:t>
            </w:r>
          </w:p>
        </w:tc>
        <w:tc>
          <w:tcPr>
            <w:tcW w:type="dxa" w:w="6664"/>
            <w:shd w:val="clear" w:color="auto" w:fill="F0F0F8"/>
          </w:tcPr>
          <w:p>
            <w:pPr>
              <w:spacing w:before="20" w:after="20"/>
            </w:pPr>
            <w:r>
              <w:rPr>
                <w:rFonts w:ascii="Calibri" w:hAnsi="Calibri"/>
                <w:b w:val="0"/>
                <w:color w:val="333333"/>
                <w:sz w:val="18"/>
              </w:rPr>
              <w:t>Development permit applications: type, project description and location, estimated cost, status, review and approval fields.</w:t>
            </w:r>
          </w:p>
        </w:tc>
      </w:tr>
      <w:tr>
        <w:trPr>
          <w:cantSplit/>
        </w:trPr>
        <w:tc>
          <w:tcPr>
            <w:tcW w:type="dxa" w:w="2362"/>
            <w:shd w:val="clear" w:color="auto" w:fill="FFFFFF"/>
          </w:tcPr>
          <w:p>
            <w:pPr>
              <w:spacing w:before="20" w:after="20"/>
            </w:pPr>
            <w:r>
              <w:rPr>
                <w:rFonts w:ascii="Calibri" w:hAnsi="Calibri"/>
                <w:b/>
                <w:color w:val="333333"/>
                <w:sz w:val="18"/>
              </w:rPr>
              <w:t>mining_applications</w:t>
            </w:r>
          </w:p>
        </w:tc>
        <w:tc>
          <w:tcPr>
            <w:tcW w:type="dxa" w:w="6664"/>
            <w:shd w:val="clear" w:color="auto" w:fill="FFFFFF"/>
          </w:tcPr>
          <w:p>
            <w:pPr>
              <w:spacing w:before="20" w:after="20"/>
            </w:pPr>
            <w:r>
              <w:rPr>
                <w:rFonts w:ascii="Calibri" w:hAnsi="Calibri"/>
                <w:b w:val="0"/>
                <w:color w:val="333333"/>
                <w:sz w:val="18"/>
              </w:rPr>
              <w:t>Mining permit applications. The largest table in the database at 62 columns, covering concession, mineral types, production scale, distances to sensitive features, and impact declarations.</w:t>
            </w:r>
          </w:p>
        </w:tc>
      </w:tr>
      <w:tr>
        <w:trPr>
          <w:cantSplit/>
        </w:trPr>
        <w:tc>
          <w:tcPr>
            <w:tcW w:type="dxa" w:w="2362"/>
            <w:shd w:val="clear" w:color="auto" w:fill="F0F0F8"/>
          </w:tcPr>
          <w:p>
            <w:pPr>
              <w:spacing w:before="20" w:after="20"/>
            </w:pPr>
            <w:r>
              <w:rPr>
                <w:rFonts w:ascii="Calibri" w:hAnsi="Calibri"/>
                <w:b/>
                <w:color w:val="333333"/>
                <w:sz w:val="18"/>
              </w:rPr>
              <w:t>application_documents</w:t>
            </w:r>
          </w:p>
        </w:tc>
        <w:tc>
          <w:tcPr>
            <w:tcW w:type="dxa" w:w="6664"/>
            <w:shd w:val="clear" w:color="auto" w:fill="F0F0F8"/>
          </w:tcPr>
          <w:p>
            <w:pPr>
              <w:spacing w:before="20" w:after="20"/>
            </w:pPr>
            <w:r>
              <w:rPr>
                <w:rFonts w:ascii="Calibri" w:hAnsi="Calibri"/>
                <w:b w:val="0"/>
                <w:color w:val="333333"/>
                <w:sz w:val="18"/>
              </w:rPr>
              <w:t>Documents attached to an application, with verification state and who verified them.</w:t>
            </w:r>
          </w:p>
        </w:tc>
      </w:tr>
      <w:tr>
        <w:trPr>
          <w:cantSplit/>
        </w:trPr>
        <w:tc>
          <w:tcPr>
            <w:tcW w:type="dxa" w:w="2362"/>
            <w:shd w:val="clear" w:color="auto" w:fill="FFFFFF"/>
          </w:tcPr>
          <w:p>
            <w:pPr>
              <w:spacing w:before="20" w:after="20"/>
            </w:pPr>
            <w:r>
              <w:rPr>
                <w:rFonts w:ascii="Calibri" w:hAnsi="Calibri"/>
                <w:b/>
                <w:color w:val="333333"/>
                <w:sz w:val="18"/>
              </w:rPr>
              <w:t>mining_application_documents</w:t>
            </w:r>
          </w:p>
        </w:tc>
        <w:tc>
          <w:tcPr>
            <w:tcW w:type="dxa" w:w="6664"/>
            <w:shd w:val="clear" w:color="auto" w:fill="FFFFFF"/>
          </w:tcPr>
          <w:p>
            <w:pPr>
              <w:spacing w:before="20" w:after="20"/>
            </w:pPr>
            <w:r>
              <w:rPr>
                <w:rFonts w:ascii="Calibri" w:hAnsi="Calibri"/>
                <w:b w:val="0"/>
                <w:color w:val="333333"/>
                <w:sz w:val="18"/>
              </w:rPr>
              <w:t>The equivalent for mining applications.</w:t>
            </w:r>
          </w:p>
        </w:tc>
      </w:tr>
      <w:tr>
        <w:trPr>
          <w:cantSplit/>
        </w:trPr>
        <w:tc>
          <w:tcPr>
            <w:tcW w:type="dxa" w:w="2362"/>
            <w:shd w:val="clear" w:color="auto" w:fill="F0F0F8"/>
          </w:tcPr>
          <w:p>
            <w:pPr>
              <w:spacing w:before="20" w:after="20"/>
            </w:pPr>
            <w:r>
              <w:rPr>
                <w:rFonts w:ascii="Calibri" w:hAnsi="Calibri"/>
                <w:b/>
                <w:color w:val="333333"/>
                <w:sz w:val="18"/>
              </w:rPr>
              <w:t>application_agents</w:t>
            </w:r>
          </w:p>
        </w:tc>
        <w:tc>
          <w:tcPr>
            <w:tcW w:type="dxa" w:w="6664"/>
            <w:shd w:val="clear" w:color="auto" w:fill="F0F0F8"/>
          </w:tcPr>
          <w:p>
            <w:pPr>
              <w:spacing w:before="20" w:after="20"/>
            </w:pPr>
            <w:r>
              <w:rPr>
                <w:rFonts w:ascii="Calibri" w:hAnsi="Calibri"/>
                <w:b w:val="0"/>
                <w:color w:val="333333"/>
                <w:sz w:val="18"/>
              </w:rPr>
              <w:t>Agents acting on behalf of an applicant.</w:t>
            </w:r>
          </w:p>
        </w:tc>
      </w:tr>
      <w:tr>
        <w:trPr>
          <w:cantSplit/>
        </w:trPr>
        <w:tc>
          <w:tcPr>
            <w:tcW w:type="dxa" w:w="2362"/>
            <w:shd w:val="clear" w:color="auto" w:fill="FFFFFF"/>
          </w:tcPr>
          <w:p>
            <w:pPr>
              <w:spacing w:before="20" w:after="20"/>
            </w:pPr>
            <w:r>
              <w:rPr>
                <w:rFonts w:ascii="Calibri" w:hAnsi="Calibri"/>
                <w:b/>
                <w:color w:val="333333"/>
                <w:sz w:val="18"/>
              </w:rPr>
              <w:t>application_consultants</w:t>
            </w:r>
          </w:p>
        </w:tc>
        <w:tc>
          <w:tcPr>
            <w:tcW w:type="dxa" w:w="6664"/>
            <w:shd w:val="clear" w:color="auto" w:fill="FFFFFF"/>
          </w:tcPr>
          <w:p>
            <w:pPr>
              <w:spacing w:before="20" w:after="20"/>
            </w:pPr>
            <w:r>
              <w:rPr>
                <w:rFonts w:ascii="Calibri" w:hAnsi="Calibri"/>
                <w:b w:val="0"/>
                <w:color w:val="333333"/>
                <w:sz w:val="18"/>
              </w:rPr>
              <w:t>Consultants engaged on an application, with their speciality.</w:t>
            </w:r>
          </w:p>
        </w:tc>
      </w:tr>
      <w:tr>
        <w:trPr>
          <w:cantSplit/>
        </w:trPr>
        <w:tc>
          <w:tcPr>
            <w:tcW w:type="dxa" w:w="2362"/>
            <w:shd w:val="clear" w:color="auto" w:fill="F0F0F8"/>
          </w:tcPr>
          <w:p>
            <w:pPr>
              <w:spacing w:before="20" w:after="20"/>
            </w:pPr>
            <w:r>
              <w:rPr>
                <w:rFonts w:ascii="Calibri" w:hAnsi="Calibri"/>
                <w:b/>
                <w:color w:val="333333"/>
                <w:sz w:val="18"/>
              </w:rPr>
              <w:t>application_stages</w:t>
            </w:r>
          </w:p>
        </w:tc>
        <w:tc>
          <w:tcPr>
            <w:tcW w:type="dxa" w:w="6664"/>
            <w:shd w:val="clear" w:color="auto" w:fill="F0F0F8"/>
          </w:tcPr>
          <w:p>
            <w:pPr>
              <w:spacing w:before="20" w:after="20"/>
            </w:pPr>
            <w:r>
              <w:rPr>
                <w:rFonts w:ascii="Calibri" w:hAnsi="Calibri"/>
                <w:b w:val="0"/>
                <w:color w:val="333333"/>
                <w:sz w:val="18"/>
              </w:rPr>
              <w:t>Which stage of the workflow an application has reached.</w:t>
            </w:r>
          </w:p>
        </w:tc>
      </w:tr>
      <w:tr>
        <w:trPr>
          <w:cantSplit/>
        </w:trPr>
        <w:tc>
          <w:tcPr>
            <w:tcW w:type="dxa" w:w="2362"/>
            <w:shd w:val="clear" w:color="auto" w:fill="FFFFFF"/>
          </w:tcPr>
          <w:p>
            <w:pPr>
              <w:spacing w:before="20" w:after="20"/>
            </w:pPr>
            <w:r>
              <w:rPr>
                <w:rFonts w:ascii="Calibri" w:hAnsi="Calibri"/>
                <w:b/>
                <w:color w:val="333333"/>
                <w:sz w:val="18"/>
              </w:rPr>
              <w:t>application_status_history</w:t>
            </w:r>
          </w:p>
        </w:tc>
        <w:tc>
          <w:tcPr>
            <w:tcW w:type="dxa" w:w="6664"/>
            <w:shd w:val="clear" w:color="auto" w:fill="FFFFFF"/>
          </w:tcPr>
          <w:p>
            <w:pPr>
              <w:spacing w:before="20" w:after="20"/>
            </w:pPr>
            <w:r>
              <w:rPr>
                <w:rFonts w:ascii="Calibri" w:hAnsi="Calibri"/>
                <w:b w:val="0"/>
                <w:color w:val="333333"/>
                <w:sz w:val="18"/>
              </w:rPr>
              <w:t>Every status change, with who made it and why.</w:t>
            </w:r>
          </w:p>
        </w:tc>
      </w:tr>
      <w:tr>
        <w:trPr>
          <w:cantSplit/>
        </w:trPr>
        <w:tc>
          <w:tcPr>
            <w:tcW w:type="dxa" w:w="2362"/>
            <w:shd w:val="clear" w:color="auto" w:fill="F0F0F8"/>
          </w:tcPr>
          <w:p>
            <w:pPr>
              <w:spacing w:before="20" w:after="20"/>
            </w:pPr>
            <w:r>
              <w:rPr>
                <w:rFonts w:ascii="Calibri" w:hAnsi="Calibri"/>
                <w:b/>
                <w:color w:val="333333"/>
                <w:sz w:val="18"/>
              </w:rPr>
              <w:t>application_comments</w:t>
            </w:r>
          </w:p>
        </w:tc>
        <w:tc>
          <w:tcPr>
            <w:tcW w:type="dxa" w:w="6664"/>
            <w:shd w:val="clear" w:color="auto" w:fill="F0F0F8"/>
          </w:tcPr>
          <w:p>
            <w:pPr>
              <w:spacing w:before="20" w:after="20"/>
            </w:pPr>
            <w:r>
              <w:rPr>
                <w:rFonts w:ascii="Calibri" w:hAnsi="Calibri"/>
                <w:b w:val="0"/>
                <w:color w:val="333333"/>
                <w:sz w:val="18"/>
              </w:rPr>
              <w:t>Reviewer comments against an application.</w:t>
            </w:r>
          </w:p>
        </w:tc>
      </w:tr>
    </w:tbl>
    <w:p>
      <w:pPr>
        <w:spacing w:after="120"/>
      </w:pPr>
    </w:p>
    <w:p>
      <w:pPr>
        <w:pStyle w:val="berschrift1"/>
        <w:spacing w:after="120" w:before="280"/>
      </w:pPr>
      <w:r>
        <w:t>7. The admin schema</w:t>
      </w:r>
    </w:p>
    <w:p>
      <w:pPr>
        <w:spacing w:after="120"/>
      </w:pPr>
      <w:r>
        <w:rPr>
          <w:rFonts w:ascii="Calibri" w:hAnsi="Calibri"/>
          <w:color w:val="333333"/>
          <w:sz w:val="22"/>
        </w:rPr>
        <w:t>Thirteen tables holding identity and access for all LUPMIS subsystems, not just the mapping application. This is where a user's district assignment lives — the value the PWA uses to decide which district to open.</w:t>
      </w:r>
    </w:p>
    <w:tbl>
      <w:tblPr>
        <w:tblW w:type="auto" w:w="0"/>
        <w:jc w:val="left"/>
        <w:tblLayout w:type="fixed"/>
        <w:tblLook w:firstColumn="1" w:firstRow="1" w:lastColumn="0" w:lastRow="0" w:noHBand="0" w:noVBand="1" w:val="04A0"/>
        <w:tblBorders>
          <w:top w:val="single" w:sz="4" w:space="0" w:color="D9D9E3"/>
          <w:left w:val="single" w:sz="4" w:space="0" w:color="D9D9E3"/>
          <w:bottom w:val="single" w:sz="4" w:space="0" w:color="D9D9E3"/>
          <w:right w:val="single" w:sz="4" w:space="0" w:color="D9D9E3"/>
          <w:insideH w:val="single" w:sz="4" w:space="0" w:color="D9D9E3"/>
          <w:insideV w:val="single" w:sz="4" w:space="0" w:color="D9D9E3"/>
        </w:tblBorders>
        <w:tblLayout w:type="fixed"/>
        <w:tblW w:w="9026" w:type="dxa"/>
      </w:tblPr>
      <w:tblGrid>
        <w:gridCol w:w="2362"/>
        <w:gridCol w:w="6663"/>
      </w:tblGrid>
      <w:tr>
        <w:trPr>
          <w:tblHeader/>
          <w:cantSplit/>
        </w:trPr>
        <w:tc>
          <w:tcPr>
            <w:tcW w:type="dxa" w:w="2362"/>
            <w:shd w:val="clear" w:color="auto" w:fill="1E1A4B"/>
          </w:tcPr>
          <w:p>
            <w:pPr>
              <w:spacing w:before="20" w:after="20"/>
            </w:pPr>
            <w:r>
              <w:rPr>
                <w:rFonts w:ascii="Calibri" w:hAnsi="Calibri"/>
                <w:b/>
                <w:color w:val="FFFFFF"/>
                <w:sz w:val="20"/>
              </w:rPr>
              <w:t>Table</w:t>
            </w:r>
          </w:p>
        </w:tc>
        <w:tc>
          <w:tcPr>
            <w:tcW w:type="dxa" w:w="6664"/>
            <w:shd w:val="clear" w:color="auto" w:fill="1E1A4B"/>
          </w:tcPr>
          <w:p>
            <w:pPr>
              <w:spacing w:before="20" w:after="20"/>
            </w:pPr>
            <w:r>
              <w:rPr>
                <w:rFonts w:ascii="Calibri" w:hAnsi="Calibri"/>
                <w:b/>
                <w:color w:val="FFFFFF"/>
                <w:sz w:val="20"/>
              </w:rPr>
              <w:t>What it holds</w:t>
            </w:r>
          </w:p>
        </w:tc>
      </w:tr>
      <w:tr>
        <w:trPr>
          <w:cantSplit/>
        </w:trPr>
        <w:tc>
          <w:tcPr>
            <w:tcW w:type="dxa" w:w="2362"/>
            <w:shd w:val="clear" w:color="auto" w:fill="FFFFFF"/>
          </w:tcPr>
          <w:p>
            <w:pPr>
              <w:spacing w:before="20" w:after="20"/>
            </w:pPr>
            <w:r>
              <w:rPr>
                <w:rFonts w:ascii="Calibri" w:hAnsi="Calibri"/>
                <w:b/>
                <w:color w:val="333333"/>
                <w:sz w:val="18"/>
              </w:rPr>
              <w:t>user_accounts</w:t>
            </w:r>
          </w:p>
        </w:tc>
        <w:tc>
          <w:tcPr>
            <w:tcW w:type="dxa" w:w="6664"/>
            <w:shd w:val="clear" w:color="auto" w:fill="FFFFFF"/>
          </w:tcPr>
          <w:p>
            <w:pPr>
              <w:spacing w:before="20" w:after="20"/>
            </w:pPr>
            <w:r>
              <w:rPr>
                <w:rFonts w:ascii="Calibri" w:hAnsi="Calibri"/>
                <w:b w:val="0"/>
                <w:color w:val="333333"/>
                <w:sz w:val="18"/>
              </w:rPr>
              <w:t>The user register: credentials, name and title, position, contact details, assigned region and district, allowed applications, and account state.</w:t>
            </w:r>
          </w:p>
        </w:tc>
      </w:tr>
      <w:tr>
        <w:trPr>
          <w:cantSplit/>
        </w:trPr>
        <w:tc>
          <w:tcPr>
            <w:tcW w:type="dxa" w:w="2362"/>
            <w:shd w:val="clear" w:color="auto" w:fill="F0F0F8"/>
          </w:tcPr>
          <w:p>
            <w:pPr>
              <w:spacing w:before="20" w:after="20"/>
            </w:pPr>
            <w:r>
              <w:rPr>
                <w:rFonts w:ascii="Calibri" w:hAnsi="Calibri"/>
                <w:b/>
                <w:color w:val="333333"/>
                <w:sz w:val="18"/>
              </w:rPr>
              <w:t>roles, designation</w:t>
            </w:r>
          </w:p>
        </w:tc>
        <w:tc>
          <w:tcPr>
            <w:tcW w:type="dxa" w:w="6664"/>
            <w:shd w:val="clear" w:color="auto" w:fill="F0F0F8"/>
          </w:tcPr>
          <w:p>
            <w:pPr>
              <w:spacing w:before="20" w:after="20"/>
            </w:pPr>
            <w:r>
              <w:rPr>
                <w:rFonts w:ascii="Calibri" w:hAnsi="Calibri"/>
                <w:b w:val="0"/>
                <w:color w:val="333333"/>
                <w:sz w:val="18"/>
              </w:rPr>
              <w:t>Role and job-designation reference values.</w:t>
            </w:r>
          </w:p>
        </w:tc>
      </w:tr>
      <w:tr>
        <w:trPr>
          <w:cantSplit/>
        </w:trPr>
        <w:tc>
          <w:tcPr>
            <w:tcW w:type="dxa" w:w="2362"/>
            <w:shd w:val="clear" w:color="auto" w:fill="FFFFFF"/>
          </w:tcPr>
          <w:p>
            <w:pPr>
              <w:spacing w:before="20" w:after="20"/>
            </w:pPr>
            <w:r>
              <w:rPr>
                <w:rFonts w:ascii="Calibri" w:hAnsi="Calibri"/>
                <w:b/>
                <w:color w:val="333333"/>
                <w:sz w:val="18"/>
              </w:rPr>
              <w:t>user_menus, user_menu_assigned</w:t>
            </w:r>
          </w:p>
        </w:tc>
        <w:tc>
          <w:tcPr>
            <w:tcW w:type="dxa" w:w="6664"/>
            <w:shd w:val="clear" w:color="auto" w:fill="FFFFFF"/>
          </w:tcPr>
          <w:p>
            <w:pPr>
              <w:spacing w:before="20" w:after="20"/>
            </w:pPr>
            <w:r>
              <w:rPr>
                <w:rFonts w:ascii="Calibri" w:hAnsi="Calibri"/>
                <w:b w:val="0"/>
                <w:color w:val="333333"/>
                <w:sz w:val="18"/>
              </w:rPr>
              <w:t>The menu structure, and which menu items each user has.</w:t>
            </w:r>
          </w:p>
        </w:tc>
      </w:tr>
      <w:tr>
        <w:trPr>
          <w:cantSplit/>
        </w:trPr>
        <w:tc>
          <w:tcPr>
            <w:tcW w:type="dxa" w:w="2362"/>
            <w:shd w:val="clear" w:color="auto" w:fill="F0F0F8"/>
          </w:tcPr>
          <w:p>
            <w:pPr>
              <w:spacing w:before="20" w:after="20"/>
            </w:pPr>
            <w:r>
              <w:rPr>
                <w:rFonts w:ascii="Calibri" w:hAnsi="Calibri"/>
                <w:b/>
                <w:color w:val="333333"/>
                <w:sz w:val="18"/>
              </w:rPr>
              <w:t>user_priviledges, user_priviledges_assigned</w:t>
            </w:r>
          </w:p>
        </w:tc>
        <w:tc>
          <w:tcPr>
            <w:tcW w:type="dxa" w:w="6664"/>
            <w:shd w:val="clear" w:color="auto" w:fill="F0F0F8"/>
          </w:tcPr>
          <w:p>
            <w:pPr>
              <w:spacing w:before="20" w:after="20"/>
            </w:pPr>
            <w:r>
              <w:rPr>
                <w:rFonts w:ascii="Calibri" w:hAnsi="Calibri"/>
                <w:b w:val="0"/>
                <w:color w:val="333333"/>
                <w:sz w:val="18"/>
              </w:rPr>
              <w:t>Privilege definitions and their assignment to users. (The spelling is as it appears in the database.)</w:t>
            </w:r>
          </w:p>
        </w:tc>
      </w:tr>
      <w:tr>
        <w:trPr>
          <w:cantSplit/>
        </w:trPr>
        <w:tc>
          <w:tcPr>
            <w:tcW w:type="dxa" w:w="2362"/>
            <w:shd w:val="clear" w:color="auto" w:fill="FFFFFF"/>
          </w:tcPr>
          <w:p>
            <w:pPr>
              <w:spacing w:before="20" w:after="20"/>
            </w:pPr>
            <w:r>
              <w:rPr>
                <w:rFonts w:ascii="Calibri" w:hAnsi="Calibri"/>
                <w:b/>
                <w:color w:val="333333"/>
                <w:sz w:val="18"/>
              </w:rPr>
              <w:t>api_auth</w:t>
            </w:r>
          </w:p>
        </w:tc>
        <w:tc>
          <w:tcPr>
            <w:tcW w:type="dxa" w:w="6664"/>
            <w:shd w:val="clear" w:color="auto" w:fill="FFFFFF"/>
          </w:tcPr>
          <w:p>
            <w:pPr>
              <w:spacing w:before="20" w:after="20"/>
            </w:pPr>
            <w:r>
              <w:rPr>
                <w:rFonts w:ascii="Calibri" w:hAnsi="Calibri"/>
                <w:b w:val="0"/>
                <w:color w:val="333333"/>
                <w:sz w:val="18"/>
              </w:rPr>
              <w:t>API accounts and their tokens, with expiry and the client application version.</w:t>
            </w:r>
          </w:p>
        </w:tc>
      </w:tr>
      <w:tr>
        <w:trPr>
          <w:cantSplit/>
        </w:trPr>
        <w:tc>
          <w:tcPr>
            <w:tcW w:type="dxa" w:w="2362"/>
            <w:shd w:val="clear" w:color="auto" w:fill="F0F0F8"/>
          </w:tcPr>
          <w:p>
            <w:pPr>
              <w:spacing w:before="20" w:after="20"/>
            </w:pPr>
            <w:r>
              <w:rPr>
                <w:rFonts w:ascii="Calibri" w:hAnsi="Calibri"/>
                <w:b/>
                <w:color w:val="333333"/>
                <w:sz w:val="18"/>
              </w:rPr>
              <w:t>api_token_access, token_permissions</w:t>
            </w:r>
          </w:p>
        </w:tc>
        <w:tc>
          <w:tcPr>
            <w:tcW w:type="dxa" w:w="6664"/>
            <w:shd w:val="clear" w:color="auto" w:fill="F0F0F8"/>
          </w:tcPr>
          <w:p>
            <w:pPr>
              <w:spacing w:before="20" w:after="20"/>
            </w:pPr>
            <w:r>
              <w:rPr>
                <w:rFonts w:ascii="Calibri" w:hAnsi="Calibri"/>
                <w:b w:val="0"/>
                <w:color w:val="333333"/>
                <w:sz w:val="18"/>
              </w:rPr>
              <w:t>Which endpoints and methods a token is allowed to call.</w:t>
            </w:r>
          </w:p>
        </w:tc>
      </w:tr>
      <w:tr>
        <w:trPr>
          <w:cantSplit/>
        </w:trPr>
        <w:tc>
          <w:tcPr>
            <w:tcW w:type="dxa" w:w="2362"/>
            <w:shd w:val="clear" w:color="auto" w:fill="FFFFFF"/>
          </w:tcPr>
          <w:p>
            <w:pPr>
              <w:spacing w:before="20" w:after="20"/>
            </w:pPr>
            <w:r>
              <w:rPr>
                <w:rFonts w:ascii="Calibri" w:hAnsi="Calibri"/>
                <w:b/>
                <w:color w:val="333333"/>
                <w:sz w:val="18"/>
              </w:rPr>
              <w:t>user_access_log</w:t>
            </w:r>
          </w:p>
        </w:tc>
        <w:tc>
          <w:tcPr>
            <w:tcW w:type="dxa" w:w="6664"/>
            <w:shd w:val="clear" w:color="auto" w:fill="FFFFFF"/>
          </w:tcPr>
          <w:p>
            <w:pPr>
              <w:spacing w:before="20" w:after="20"/>
            </w:pPr>
            <w:r>
              <w:rPr>
                <w:rFonts w:ascii="Calibri" w:hAnsi="Calibri"/>
                <w:b w:val="0"/>
                <w:color w:val="333333"/>
                <w:sz w:val="18"/>
              </w:rPr>
              <w:t>Sign-in and sign-out events, with district, address, browser and language.</w:t>
            </w:r>
          </w:p>
        </w:tc>
      </w:tr>
      <w:tr>
        <w:trPr>
          <w:cantSplit/>
        </w:trPr>
        <w:tc>
          <w:tcPr>
            <w:tcW w:type="dxa" w:w="2362"/>
            <w:shd w:val="clear" w:color="auto" w:fill="F0F0F8"/>
          </w:tcPr>
          <w:p>
            <w:pPr>
              <w:spacing w:before="20" w:after="20"/>
            </w:pPr>
            <w:r>
              <w:rPr>
                <w:rFonts w:ascii="Calibri" w:hAnsi="Calibri"/>
                <w:b/>
                <w:color w:val="333333"/>
                <w:sz w:val="18"/>
              </w:rPr>
              <w:t>user_logs</w:t>
            </w:r>
          </w:p>
        </w:tc>
        <w:tc>
          <w:tcPr>
            <w:tcW w:type="dxa" w:w="6664"/>
            <w:shd w:val="clear" w:color="auto" w:fill="F0F0F8"/>
          </w:tcPr>
          <w:p>
            <w:pPr>
              <w:spacing w:before="20" w:after="20"/>
            </w:pPr>
            <w:r>
              <w:rPr>
                <w:rFonts w:ascii="Calibri" w:hAnsi="Calibri"/>
                <w:b w:val="0"/>
                <w:color w:val="333333"/>
                <w:sz w:val="18"/>
              </w:rPr>
              <w:t>General user activity.</w:t>
            </w:r>
          </w:p>
        </w:tc>
      </w:tr>
      <w:tr>
        <w:trPr>
          <w:cantSplit/>
        </w:trPr>
        <w:tc>
          <w:tcPr>
            <w:tcW w:type="dxa" w:w="2362"/>
            <w:shd w:val="clear" w:color="auto" w:fill="FFFFFF"/>
          </w:tcPr>
          <w:p>
            <w:pPr>
              <w:spacing w:before="20" w:after="20"/>
            </w:pPr>
            <w:r>
              <w:rPr>
                <w:rFonts w:ascii="Calibri" w:hAnsi="Calibri"/>
                <w:b/>
                <w:color w:val="333333"/>
                <w:sz w:val="18"/>
              </w:rPr>
              <w:t>error_log</w:t>
            </w:r>
          </w:p>
        </w:tc>
        <w:tc>
          <w:tcPr>
            <w:tcW w:type="dxa" w:w="6664"/>
            <w:shd w:val="clear" w:color="auto" w:fill="FFFFFF"/>
          </w:tcPr>
          <w:p>
            <w:pPr>
              <w:spacing w:before="20" w:after="20"/>
            </w:pPr>
            <w:r>
              <w:rPr>
                <w:rFonts w:ascii="Calibri" w:hAnsi="Calibri"/>
                <w:b w:val="0"/>
                <w:color w:val="333333"/>
                <w:sz w:val="18"/>
              </w:rPr>
              <w:t>Errors raised inside stored functions, with the function name and stack.</w:t>
            </w:r>
          </w:p>
        </w:tc>
      </w:tr>
    </w:tbl>
    <w:p>
      <w:pPr>
        <w:spacing w:after="120"/>
      </w:pPr>
    </w:p>
    <w:p>
      <w:pPr>
        <w:pStyle w:val="berschrift1"/>
        <w:spacing w:after="120" w:before="280"/>
      </w:pPr>
      <w:r>
        <w:t>8. The dataroom schema</w:t>
      </w:r>
    </w:p>
    <w:p>
      <w:pPr>
        <w:spacing w:after="120"/>
      </w:pPr>
      <w:r>
        <w:rPr>
          <w:rFonts w:ascii="Calibri" w:hAnsi="Calibri"/>
          <w:color w:val="333333"/>
          <w:sz w:val="22"/>
        </w:rPr>
        <w:t>A dataset catalogue, and the newest part of the database. It is built around versioning rather than files: a dataset has versions, a version has resources, and only a finalised version is published. It is the natural home for the external datasets the mapping application can now add at run time.</w:t>
      </w:r>
    </w:p>
    <w:tbl>
      <w:tblPr>
        <w:tblW w:type="auto" w:w="0"/>
        <w:jc w:val="left"/>
        <w:tblLayout w:type="fixed"/>
        <w:tblLook w:firstColumn="1" w:firstRow="1" w:lastColumn="0" w:lastRow="0" w:noHBand="0" w:noVBand="1" w:val="04A0"/>
        <w:tblBorders>
          <w:top w:val="single" w:sz="4" w:space="0" w:color="D9D9E3"/>
          <w:left w:val="single" w:sz="4" w:space="0" w:color="D9D9E3"/>
          <w:bottom w:val="single" w:sz="4" w:space="0" w:color="D9D9E3"/>
          <w:right w:val="single" w:sz="4" w:space="0" w:color="D9D9E3"/>
          <w:insideH w:val="single" w:sz="4" w:space="0" w:color="D9D9E3"/>
          <w:insideV w:val="single" w:sz="4" w:space="0" w:color="D9D9E3"/>
        </w:tblBorders>
        <w:tblLayout w:type="fixed"/>
        <w:tblW w:w="9026" w:type="dxa"/>
      </w:tblPr>
      <w:tblGrid>
        <w:gridCol w:w="2362"/>
        <w:gridCol w:w="6663"/>
      </w:tblGrid>
      <w:tr>
        <w:trPr>
          <w:tblHeader/>
          <w:cantSplit/>
        </w:trPr>
        <w:tc>
          <w:tcPr>
            <w:tcW w:type="dxa" w:w="2362"/>
            <w:shd w:val="clear" w:color="auto" w:fill="1E1A4B"/>
          </w:tcPr>
          <w:p>
            <w:pPr>
              <w:spacing w:before="20" w:after="20"/>
            </w:pPr>
            <w:r>
              <w:rPr>
                <w:rFonts w:ascii="Calibri" w:hAnsi="Calibri"/>
                <w:b/>
                <w:color w:val="FFFFFF"/>
                <w:sz w:val="20"/>
              </w:rPr>
              <w:t>Table</w:t>
            </w:r>
          </w:p>
        </w:tc>
        <w:tc>
          <w:tcPr>
            <w:tcW w:type="dxa" w:w="6664"/>
            <w:shd w:val="clear" w:color="auto" w:fill="1E1A4B"/>
          </w:tcPr>
          <w:p>
            <w:pPr>
              <w:spacing w:before="20" w:after="20"/>
            </w:pPr>
            <w:r>
              <w:rPr>
                <w:rFonts w:ascii="Calibri" w:hAnsi="Calibri"/>
                <w:b/>
                <w:color w:val="FFFFFF"/>
                <w:sz w:val="20"/>
              </w:rPr>
              <w:t>What it holds</w:t>
            </w:r>
          </w:p>
        </w:tc>
      </w:tr>
      <w:tr>
        <w:trPr>
          <w:cantSplit/>
        </w:trPr>
        <w:tc>
          <w:tcPr>
            <w:tcW w:type="dxa" w:w="2362"/>
            <w:shd w:val="clear" w:color="auto" w:fill="FFFFFF"/>
          </w:tcPr>
          <w:p>
            <w:pPr>
              <w:spacing w:before="20" w:after="20"/>
            </w:pPr>
            <w:r>
              <w:rPr>
                <w:rFonts w:ascii="Calibri" w:hAnsi="Calibri"/>
                <w:b/>
                <w:color w:val="333333"/>
                <w:sz w:val="18"/>
              </w:rPr>
              <w:t>datasets</w:t>
            </w:r>
          </w:p>
        </w:tc>
        <w:tc>
          <w:tcPr>
            <w:tcW w:type="dxa" w:w="6664"/>
            <w:shd w:val="clear" w:color="auto" w:fill="FFFFFF"/>
          </w:tcPr>
          <w:p>
            <w:pPr>
              <w:spacing w:before="20" w:after="20"/>
            </w:pPr>
            <w:r>
              <w:rPr>
                <w:rFonts w:ascii="Calibri" w:hAnsi="Calibri"/>
                <w:b w:val="0"/>
                <w:color w:val="333333"/>
                <w:sz w:val="18"/>
              </w:rPr>
              <w:t>The catalogue entry: title, description, category, reference year, district and region, licence code and URL, attribution and rights statement, and publication state.</w:t>
            </w:r>
          </w:p>
        </w:tc>
      </w:tr>
      <w:tr>
        <w:trPr>
          <w:cantSplit/>
        </w:trPr>
        <w:tc>
          <w:tcPr>
            <w:tcW w:type="dxa" w:w="2362"/>
            <w:shd w:val="clear" w:color="auto" w:fill="F0F0F8"/>
          </w:tcPr>
          <w:p>
            <w:pPr>
              <w:spacing w:before="20" w:after="20"/>
            </w:pPr>
            <w:r>
              <w:rPr>
                <w:rFonts w:ascii="Calibri" w:hAnsi="Calibri"/>
                <w:b/>
                <w:color w:val="333333"/>
                <w:sz w:val="18"/>
              </w:rPr>
              <w:t>dataset_versions</w:t>
            </w:r>
          </w:p>
        </w:tc>
        <w:tc>
          <w:tcPr>
            <w:tcW w:type="dxa" w:w="6664"/>
            <w:shd w:val="clear" w:color="auto" w:fill="F0F0F8"/>
          </w:tcPr>
          <w:p>
            <w:pPr>
              <w:spacing w:before="20" w:after="20"/>
            </w:pPr>
            <w:r>
              <w:rPr>
                <w:rFonts w:ascii="Calibri" w:hAnsi="Calibri"/>
                <w:b w:val="0"/>
                <w:color w:val="333333"/>
                <w:sz w:val="18"/>
              </w:rPr>
              <w:t>Numbered versions of a dataset, each open or finalised, with a changelog and who finalised it.</w:t>
            </w:r>
          </w:p>
        </w:tc>
      </w:tr>
      <w:tr>
        <w:trPr>
          <w:cantSplit/>
        </w:trPr>
        <w:tc>
          <w:tcPr>
            <w:tcW w:type="dxa" w:w="2362"/>
            <w:shd w:val="clear" w:color="auto" w:fill="FFFFFF"/>
          </w:tcPr>
          <w:p>
            <w:pPr>
              <w:spacing w:before="20" w:after="20"/>
            </w:pPr>
            <w:r>
              <w:rPr>
                <w:rFonts w:ascii="Calibri" w:hAnsi="Calibri"/>
                <w:b/>
                <w:color w:val="333333"/>
                <w:sz w:val="18"/>
              </w:rPr>
              <w:t>dataset_resources</w:t>
            </w:r>
          </w:p>
        </w:tc>
        <w:tc>
          <w:tcPr>
            <w:tcW w:type="dxa" w:w="6664"/>
            <w:shd w:val="clear" w:color="auto" w:fill="FFFFFF"/>
          </w:tcPr>
          <w:p>
            <w:pPr>
              <w:spacing w:before="20" w:after="20"/>
            </w:pPr>
            <w:r>
              <w:rPr>
                <w:rFonts w:ascii="Calibri" w:hAnsi="Calibri"/>
                <w:b w:val="0"/>
                <w:color w:val="333333"/>
                <w:sz w:val="18"/>
              </w:rPr>
              <w:t>The files in a version: original filename, storage key, SHA-256 checksum, size, format, and — for geographic files — coordinate reference system, bounding box and feature count.</w:t>
            </w:r>
          </w:p>
        </w:tc>
      </w:tr>
      <w:tr>
        <w:trPr>
          <w:cantSplit/>
        </w:trPr>
        <w:tc>
          <w:tcPr>
            <w:tcW w:type="dxa" w:w="2362"/>
            <w:shd w:val="clear" w:color="auto" w:fill="F0F0F8"/>
          </w:tcPr>
          <w:p>
            <w:pPr>
              <w:spacing w:before="20" w:after="20"/>
            </w:pPr>
            <w:r>
              <w:rPr>
                <w:rFonts w:ascii="Calibri" w:hAnsi="Calibri"/>
                <w:b/>
                <w:color w:val="333333"/>
                <w:sz w:val="18"/>
              </w:rPr>
              <w:t>downloads</w:t>
            </w:r>
          </w:p>
        </w:tc>
        <w:tc>
          <w:tcPr>
            <w:tcW w:type="dxa" w:w="6664"/>
            <w:shd w:val="clear" w:color="auto" w:fill="F0F0F8"/>
          </w:tcPr>
          <w:p>
            <w:pPr>
              <w:spacing w:before="20" w:after="20"/>
            </w:pPr>
            <w:r>
              <w:rPr>
                <w:rFonts w:ascii="Calibri" w:hAnsi="Calibri"/>
                <w:b w:val="0"/>
                <w:color w:val="333333"/>
                <w:sz w:val="18"/>
              </w:rPr>
              <w:t>Download events, with the requester's address stored as a hash rather than in the clear.</w:t>
            </w:r>
          </w:p>
        </w:tc>
      </w:tr>
      <w:tr>
        <w:trPr>
          <w:cantSplit/>
        </w:trPr>
        <w:tc>
          <w:tcPr>
            <w:tcW w:type="dxa" w:w="2362"/>
            <w:shd w:val="clear" w:color="auto" w:fill="FFFFFF"/>
          </w:tcPr>
          <w:p>
            <w:pPr>
              <w:spacing w:before="20" w:after="20"/>
            </w:pPr>
            <w:r>
              <w:rPr>
                <w:rFonts w:ascii="Calibri" w:hAnsi="Calibri"/>
                <w:b/>
                <w:color w:val="333333"/>
                <w:sz w:val="18"/>
              </w:rPr>
              <w:t>audit_log</w:t>
            </w:r>
          </w:p>
        </w:tc>
        <w:tc>
          <w:tcPr>
            <w:tcW w:type="dxa" w:w="6664"/>
            <w:shd w:val="clear" w:color="auto" w:fill="FFFFFF"/>
          </w:tcPr>
          <w:p>
            <w:pPr>
              <w:spacing w:before="20" w:after="20"/>
            </w:pPr>
            <w:r>
              <w:rPr>
                <w:rFonts w:ascii="Calibri" w:hAnsi="Calibri"/>
                <w:b w:val="0"/>
                <w:color w:val="333333"/>
                <w:sz w:val="18"/>
              </w:rPr>
              <w:t>Status transitions on datasets and versions, with actor and district.</w:t>
            </w:r>
          </w:p>
        </w:tc>
      </w:tr>
    </w:tbl>
    <w:p>
      <w:pPr>
        <w:spacing w:after="120"/>
      </w:pPr>
    </w:p>
    <w:p>
      <w:pPr>
        <w:pStyle w:val="berschrift1"/>
        <w:spacing w:after="120" w:before="280"/>
      </w:pPr>
      <w:r>
        <w:t>9. Observations</w:t>
      </w:r>
    </w:p>
    <w:p>
      <w:pPr>
        <w:spacing w:after="120"/>
      </w:pPr>
      <w:r>
        <w:rPr>
          <w:rFonts w:ascii="Calibri" w:hAnsi="Calibri"/>
          <w:color w:val="333333"/>
          <w:sz w:val="22"/>
        </w:rPr>
        <w:t>The following are things a reader of the dictionary will notice and ask about. None is a fault and none is urgent; they are recorded so that the answers are written down, and so that the database team can decide which are worth tidying.</w:t>
      </w:r>
    </w:p>
    <w:tbl>
      <w:tblPr>
        <w:tblW w:type="auto" w:w="0"/>
        <w:jc w:val="left"/>
        <w:tblLayout w:type="fixed"/>
        <w:tblLook w:firstColumn="1" w:firstRow="1" w:lastColumn="0" w:lastRow="0" w:noHBand="0" w:noVBand="1" w:val="04A0"/>
        <w:tblBorders>
          <w:top w:val="single" w:sz="4" w:space="0" w:color="D9D9E3"/>
          <w:left w:val="single" w:sz="4" w:space="0" w:color="D9D9E3"/>
          <w:bottom w:val="single" w:sz="4" w:space="0" w:color="D9D9E3"/>
          <w:right w:val="single" w:sz="4" w:space="0" w:color="D9D9E3"/>
          <w:insideH w:val="single" w:sz="4" w:space="0" w:color="D9D9E3"/>
          <w:insideV w:val="single" w:sz="4" w:space="0" w:color="D9D9E3"/>
        </w:tblBorders>
        <w:tblLayout w:type="fixed"/>
        <w:tblW w:w="9026" w:type="dxa"/>
      </w:tblPr>
      <w:tblGrid>
        <w:gridCol w:w="2519"/>
        <w:gridCol w:w="6506"/>
      </w:tblGrid>
      <w:tr>
        <w:trPr>
          <w:tblHeader/>
          <w:cantSplit/>
        </w:trPr>
        <w:tc>
          <w:tcPr>
            <w:tcW w:type="dxa" w:w="2520"/>
            <w:shd w:val="clear" w:color="auto" w:fill="1E1A4B"/>
          </w:tcPr>
          <w:p>
            <w:pPr>
              <w:spacing w:before="20" w:after="20"/>
            </w:pPr>
            <w:r>
              <w:rPr>
                <w:rFonts w:ascii="Calibri" w:hAnsi="Calibri"/>
                <w:b/>
                <w:color w:val="FFFFFF"/>
                <w:sz w:val="20"/>
              </w:rPr>
              <w:t>Observation</w:t>
            </w:r>
          </w:p>
        </w:tc>
        <w:tc>
          <w:tcPr>
            <w:tcW w:type="dxa" w:w="6506"/>
            <w:shd w:val="clear" w:color="auto" w:fill="1E1A4B"/>
          </w:tcPr>
          <w:p>
            <w:pPr>
              <w:spacing w:before="20" w:after="20"/>
            </w:pPr>
            <w:r>
              <w:rPr>
                <w:rFonts w:ascii="Calibri" w:hAnsi="Calibri"/>
                <w:b/>
                <w:color w:val="FFFFFF"/>
                <w:sz w:val="20"/>
              </w:rPr>
              <w:t>Detail</w:t>
            </w:r>
          </w:p>
        </w:tc>
      </w:tr>
      <w:tr>
        <w:trPr>
          <w:cantSplit/>
        </w:trPr>
        <w:tc>
          <w:tcPr>
            <w:tcW w:type="dxa" w:w="2520"/>
            <w:shd w:val="clear" w:color="auto" w:fill="FFFFFF"/>
          </w:tcPr>
          <w:p>
            <w:pPr>
              <w:spacing w:before="20" w:after="20"/>
            </w:pPr>
            <w:r>
              <w:rPr>
                <w:rFonts w:ascii="Calibri" w:hAnsi="Calibri"/>
                <w:b/>
                <w:color w:val="333333"/>
                <w:sz w:val="18"/>
              </w:rPr>
              <w:t>Six superseded parcel tables</w:t>
            </w:r>
          </w:p>
        </w:tc>
        <w:tc>
          <w:tcPr>
            <w:tcW w:type="dxa" w:w="6506"/>
            <w:shd w:val="clear" w:color="auto" w:fill="FFFFFF"/>
          </w:tcPr>
          <w:p>
            <w:pPr>
              <w:spacing w:before="20" w:after="20"/>
            </w:pPr>
            <w:r>
              <w:rPr>
                <w:rFonts w:ascii="Calibri" w:hAnsi="Calibri"/>
                <w:b w:val="0"/>
                <w:color w:val="333333"/>
                <w:sz w:val="18"/>
              </w:rPr>
              <w:t>lu_parcels0, lu_parcels00, lu_parcels000, lu_parcels1, lu_parcels2 and lu_parcels_colours all predate the current lu_parcels. Worth confirming they are no longer read, then archiving them, so that a newcomer cannot query the wrong one.</w:t>
            </w:r>
          </w:p>
        </w:tc>
      </w:tr>
      <w:tr>
        <w:trPr>
          <w:cantSplit/>
        </w:trPr>
        <w:tc>
          <w:tcPr>
            <w:tcW w:type="dxa" w:w="2520"/>
            <w:shd w:val="clear" w:color="auto" w:fill="F0F0F8"/>
          </w:tcPr>
          <w:p>
            <w:pPr>
              <w:spacing w:before="20" w:after="20"/>
            </w:pPr>
            <w:r>
              <w:rPr>
                <w:rFonts w:ascii="Calibri" w:hAnsi="Calibri"/>
                <w:b/>
                <w:color w:val="333333"/>
                <w:sz w:val="18"/>
              </w:rPr>
              <w:t>Four road tables</w:t>
            </w:r>
          </w:p>
        </w:tc>
        <w:tc>
          <w:tcPr>
            <w:tcW w:type="dxa" w:w="6506"/>
            <w:shd w:val="clear" w:color="auto" w:fill="F0F0F8"/>
          </w:tcPr>
          <w:p>
            <w:pPr>
              <w:spacing w:before="20" w:after="20"/>
            </w:pPr>
            <w:r>
              <w:rPr>
                <w:rFonts w:ascii="Calibri" w:hAnsi="Calibri"/>
                <w:b w:val="0"/>
                <w:color w:val="333333"/>
                <w:sz w:val="18"/>
              </w:rPr>
              <w:t>pi_osm_roads is current. osm_roads, gis_osm_roads20260519 and pi_osm_roads_highway hold earlier or parallel imports. pi_osm_roads_highway is the only one with the full OpenStreetMap tag set.</w:t>
            </w:r>
          </w:p>
        </w:tc>
      </w:tr>
      <w:tr>
        <w:trPr>
          <w:cantSplit/>
        </w:trPr>
        <w:tc>
          <w:tcPr>
            <w:tcW w:type="dxa" w:w="2520"/>
            <w:shd w:val="clear" w:color="auto" w:fill="FFFFFF"/>
          </w:tcPr>
          <w:p>
            <w:pPr>
              <w:spacing w:before="20" w:after="20"/>
            </w:pPr>
            <w:r>
              <w:rPr>
                <w:rFonts w:ascii="Calibri" w:hAnsi="Calibri"/>
                <w:b/>
                <w:color w:val="333333"/>
                <w:sz w:val="18"/>
              </w:rPr>
              <w:t>Tables in a non-Ghanaian vocabulary</w:t>
            </w:r>
          </w:p>
        </w:tc>
        <w:tc>
          <w:tcPr>
            <w:tcW w:type="dxa" w:w="6506"/>
            <w:shd w:val="clear" w:color="auto" w:fill="FFFFFF"/>
          </w:tcPr>
          <w:p>
            <w:pPr>
              <w:spacing w:before="20" w:after="20"/>
            </w:pPr>
            <w:r>
              <w:rPr>
                <w:rFonts w:ascii="Calibri" w:hAnsi="Calibri"/>
                <w:b w:val="0"/>
                <w:color w:val="333333"/>
                <w:sz w:val="18"/>
              </w:rPr>
              <w:t>parcels, buildings, zoning_districts, overlay_districts and environmental_constraints use assessor's parcel numbers, county and state, ordinance numbers, and imperial units. They appear to come from a template schema rather than from LUSPA data, and are not read by the mapping application.</w:t>
            </w:r>
          </w:p>
        </w:tc>
      </w:tr>
      <w:tr>
        <w:trPr>
          <w:cantSplit/>
        </w:trPr>
        <w:tc>
          <w:tcPr>
            <w:tcW w:type="dxa" w:w="2520"/>
            <w:shd w:val="clear" w:color="auto" w:fill="F0F0F8"/>
          </w:tcPr>
          <w:p>
            <w:pPr>
              <w:spacing w:before="20" w:after="20"/>
            </w:pPr>
            <w:r>
              <w:rPr>
                <w:rFonts w:ascii="Calibri" w:hAnsi="Calibri"/>
                <w:b/>
                <w:color w:val="333333"/>
                <w:sz w:val="18"/>
              </w:rPr>
              <w:t>buildings and pi_buildings</w:t>
            </w:r>
          </w:p>
        </w:tc>
        <w:tc>
          <w:tcPr>
            <w:tcW w:type="dxa" w:w="6506"/>
            <w:shd w:val="clear" w:color="auto" w:fill="F0F0F8"/>
          </w:tcPr>
          <w:p>
            <w:pPr>
              <w:spacing w:before="20" w:after="20"/>
            </w:pPr>
            <w:r>
              <w:rPr>
                <w:rFonts w:ascii="Calibri" w:hAnsi="Calibri"/>
                <w:b w:val="0"/>
                <w:color w:val="333333"/>
                <w:sz w:val="18"/>
              </w:rPr>
              <w:t>Identical column sets. One is presumably the prefixed replacement of the other.</w:t>
            </w:r>
          </w:p>
        </w:tc>
      </w:tr>
      <w:tr>
        <w:trPr>
          <w:cantSplit/>
        </w:trPr>
        <w:tc>
          <w:tcPr>
            <w:tcW w:type="dxa" w:w="2520"/>
            <w:shd w:val="clear" w:color="auto" w:fill="FFFFFF"/>
          </w:tcPr>
          <w:p>
            <w:pPr>
              <w:spacing w:before="20" w:after="20"/>
            </w:pPr>
            <w:r>
              <w:rPr>
                <w:rFonts w:ascii="Calibri" w:hAnsi="Calibri"/>
                <w:b/>
                <w:color w:val="333333"/>
                <w:sz w:val="18"/>
              </w:rPr>
              <w:t>Geometry column names vary</w:t>
            </w:r>
          </w:p>
        </w:tc>
        <w:tc>
          <w:tcPr>
            <w:tcW w:type="dxa" w:w="6506"/>
            <w:shd w:val="clear" w:color="auto" w:fill="FFFFFF"/>
          </w:tcPr>
          <w:p>
            <w:pPr>
              <w:spacing w:before="20" w:after="20"/>
            </w:pPr>
            <w:r>
              <w:rPr>
                <w:rFonts w:ascii="Calibri" w:hAnsi="Calibri"/>
                <w:b w:val="0"/>
                <w:color w:val="333333"/>
                <w:sz w:val="18"/>
              </w:rPr>
              <w:t>geom (current), geometry, way (osm2pgsql), sp_boundary / sp_point / sp_centroid (older LUPMIS), wkb_geometry and footprint. New tables should use geom.</w:t>
            </w:r>
          </w:p>
        </w:tc>
      </w:tr>
      <w:tr>
        <w:trPr>
          <w:cantSplit/>
        </w:trPr>
        <w:tc>
          <w:tcPr>
            <w:tcW w:type="dxa" w:w="2520"/>
            <w:shd w:val="clear" w:color="auto" w:fill="F0F0F8"/>
          </w:tcPr>
          <w:p>
            <w:pPr>
              <w:spacing w:before="20" w:after="20"/>
            </w:pPr>
            <w:r>
              <w:rPr>
                <w:rFonts w:ascii="Calibri" w:hAnsi="Calibri"/>
                <w:b/>
                <w:color w:val="333333"/>
                <w:sz w:val="18"/>
              </w:rPr>
              <w:t>The district key varies</w:t>
            </w:r>
          </w:p>
        </w:tc>
        <w:tc>
          <w:tcPr>
            <w:tcW w:type="dxa" w:w="6506"/>
            <w:shd w:val="clear" w:color="auto" w:fill="F0F0F8"/>
          </w:tcPr>
          <w:p>
            <w:pPr>
              <w:spacing w:before="20" w:after="20"/>
            </w:pPr>
            <w:r>
              <w:rPr>
                <w:rFonts w:ascii="Calibri" w:hAnsi="Calibri"/>
                <w:b w:val="0"/>
                <w:color w:val="333333"/>
                <w:sz w:val="18"/>
              </w:rPr>
              <w:t>districtid in spatial, district_id in admin.user_accounts, district_ref in dataroom, project_district_id in permit. In area_districts it is float8 where elsewhere it is an integer.</w:t>
            </w:r>
          </w:p>
        </w:tc>
      </w:tr>
      <w:tr>
        <w:trPr>
          <w:cantSplit/>
        </w:trPr>
        <w:tc>
          <w:tcPr>
            <w:tcW w:type="dxa" w:w="2520"/>
            <w:shd w:val="clear" w:color="auto" w:fill="FFFFFF"/>
          </w:tcPr>
          <w:p>
            <w:pPr>
              <w:spacing w:before="20" w:after="20"/>
            </w:pPr>
            <w:r>
              <w:rPr>
                <w:rFonts w:ascii="Calibri" w:hAnsi="Calibri"/>
                <w:b/>
                <w:color w:val="333333"/>
                <w:sz w:val="18"/>
              </w:rPr>
              <w:t>Road classification is present but may not be served</w:t>
            </w:r>
          </w:p>
        </w:tc>
        <w:tc>
          <w:tcPr>
            <w:tcW w:type="dxa" w:w="6506"/>
            <w:shd w:val="clear" w:color="auto" w:fill="FFFFFF"/>
          </w:tcPr>
          <w:p>
            <w:pPr>
              <w:spacing w:before="20" w:after="20"/>
            </w:pPr>
            <w:r>
              <w:rPr>
                <w:rFonts w:ascii="Calibri" w:hAnsi="Calibri"/>
                <w:b w:val="0"/>
                <w:color w:val="333333"/>
                <w:sz w:val="18"/>
              </w:rPr>
              <w:t>pi_osm_roads carries fclass, yet the roads returned to the application have been observed without it. If confirmed, the fix is in the function that serves the layer rather than in the data, and would not require a re-import.</w:t>
            </w:r>
          </w:p>
        </w:tc>
      </w:tr>
      <w:tr>
        <w:trPr>
          <w:cantSplit/>
        </w:trPr>
        <w:tc>
          <w:tcPr>
            <w:tcW w:type="dxa" w:w="2520"/>
            <w:shd w:val="clear" w:color="auto" w:fill="F0F0F8"/>
          </w:tcPr>
          <w:p>
            <w:pPr>
              <w:spacing w:before="20" w:after="20"/>
            </w:pPr>
            <w:r>
              <w:rPr>
                <w:rFonts w:ascii="Calibri" w:hAnsi="Calibri"/>
                <w:b/>
                <w:color w:val="333333"/>
                <w:sz w:val="18"/>
              </w:rPr>
              <w:t>Leftover functions</w:t>
            </w:r>
          </w:p>
        </w:tc>
        <w:tc>
          <w:tcPr>
            <w:tcW w:type="dxa" w:w="6506"/>
            <w:shd w:val="clear" w:color="auto" w:fill="F0F0F8"/>
          </w:tcPr>
          <w:p>
            <w:pPr>
              <w:spacing w:before="20" w:after="20"/>
            </w:pPr>
            <w:r>
              <w:rPr>
                <w:rFonts w:ascii="Calibri" w:hAnsi="Calibri"/>
                <w:b w:val="0"/>
                <w:color w:val="333333"/>
                <w:sz w:val="18"/>
              </w:rPr>
              <w:t>select_get_osm_roads_copy1 and select_update_user_old read as working copies. admin.select_get_all_users appears twice with different signatures.</w:t>
            </w:r>
          </w:p>
        </w:tc>
      </w:tr>
    </w:tbl>
    <w:p>
      <w:pPr>
        <w:spacing w:after="120"/>
      </w:pPr>
    </w:p>
    <w:p>
      <w:pPr>
        <w:pStyle w:val="berschrift1"/>
        <w:spacing w:after="120" w:before="280"/>
      </w:pPr>
      <w:r>
        <w:t>10. What the mapping application uses</w:t>
      </w:r>
    </w:p>
    <w:p>
      <w:pPr>
        <w:spacing w:after="120"/>
      </w:pPr>
      <w:r>
        <w:rPr>
          <w:rFonts w:ascii="Calibri" w:hAnsi="Calibri"/>
          <w:color w:val="333333"/>
          <w:sz w:val="22"/>
        </w:rPr>
        <w:t>For anyone tracing behaviour in the PWA back to the database, these are the tables and functions behind what an officer sees on screen.</w:t>
      </w:r>
    </w:p>
    <w:p>
      <w:pPr>
        <w:spacing w:after="60"/>
        <w:ind w:left="360"/>
      </w:pPr>
      <w:r>
        <w:rPr>
          <w:rFonts w:ascii="Calibri" w:hAnsi="Calibri"/>
          <w:b w:val="0"/>
          <w:color w:val="333333"/>
          <w:sz w:val="22"/>
        </w:rPr>
        <w:t>— The district the map opens on comes from admin.user_accounts.district_id, delivered through the single-sign-on session.</w:t>
      </w:r>
    </w:p>
    <w:p>
      <w:pPr>
        <w:spacing w:after="60"/>
        <w:ind w:left="360"/>
      </w:pPr>
      <w:r>
        <w:rPr>
          <w:rFonts w:ascii="Calibri" w:hAnsi="Calibri"/>
          <w:b w:val="0"/>
          <w:color w:val="333333"/>
          <w:sz w:val="22"/>
        </w:rPr>
        <w:t>— The layer groups in the layer switcher are built from spatial.lay_layers.</w:t>
      </w:r>
    </w:p>
    <w:p>
      <w:pPr>
        <w:spacing w:after="60"/>
        <w:ind w:left="360"/>
      </w:pPr>
      <w:r>
        <w:rPr>
          <w:rFonts w:ascii="Calibri" w:hAnsi="Calibri"/>
          <w:b w:val="0"/>
          <w:color w:val="333333"/>
          <w:sz w:val="22"/>
        </w:rPr>
        <w:t>— Parcels come from spatial.lu_parcels via select_get_parcels_per_district, and are cached on the device for offline use.</w:t>
      </w:r>
    </w:p>
    <w:p>
      <w:pPr>
        <w:spacing w:after="60"/>
        <w:ind w:left="360"/>
      </w:pPr>
      <w:r>
        <w:rPr>
          <w:rFonts w:ascii="Calibri" w:hAnsi="Calibri"/>
          <w:b w:val="0"/>
          <w:color w:val="333333"/>
          <w:sz w:val="22"/>
        </w:rPr>
        <w:t>— Boundaries, collector zones and the UPN grid come from the area_ and gh_ tables through their per-district functions.</w:t>
      </w:r>
    </w:p>
    <w:p>
      <w:pPr>
        <w:spacing w:after="60"/>
        <w:ind w:left="360"/>
      </w:pPr>
      <w:r>
        <w:rPr>
          <w:rFonts w:ascii="Calibri" w:hAnsi="Calibri"/>
          <w:b w:val="0"/>
          <w:color w:val="333333"/>
          <w:sz w:val="22"/>
        </w:rPr>
        <w:t>— Roads and building footprints come from pi_osm_roads and lu_buildings; facilities from scs_facilities.</w:t>
      </w:r>
    </w:p>
    <w:p>
      <w:pPr>
        <w:spacing w:after="60"/>
        <w:ind w:left="360"/>
      </w:pPr>
      <w:r>
        <w:rPr>
          <w:rFonts w:ascii="Calibri" w:hAnsi="Calibri"/>
          <w:b w:val="0"/>
          <w:color w:val="333333"/>
          <w:sz w:val="22"/>
        </w:rPr>
        <w:t>— Contours come from be_contours_hillshade through contours_get_by_district, labelled with elev.</w:t>
      </w:r>
    </w:p>
    <w:p>
      <w:pPr>
        <w:spacing w:after="60"/>
        <w:ind w:left="360"/>
      </w:pPr>
      <w:r>
        <w:rPr>
          <w:rFonts w:ascii="Calibri" w:hAnsi="Calibri"/>
          <w:b w:val="0"/>
          <w:color w:val="333333"/>
          <w:sz w:val="22"/>
        </w:rPr>
        <w:t>— Field uploads land in spatial.lu_parcels_upload_tmp and are promoted to lu_parcels by transfer_upload_to_master_json once a supervisor approves them.</w:t>
      </w:r>
    </w:p>
    <w:sectPr w:rsidR="0032655B">
      <w:headerReference w:type="default" r:id="rId13"/>
      <w:footerReference w:type="default" r:id="rId14"/>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4F189B0" w14:textId="77777777" w:rsidR="00AE2CBB" w:rsidRDefault="00AE2CBB">
      <w:r>
        <w:separator/>
      </w:r>
    </w:p>
  </w:endnote>
  <w:endnote w:type="continuationSeparator" w:id="0">
    <w:p w14:paraId="2F99AFCD" w14:textId="77777777" w:rsidR="00AE2CBB" w:rsidRDefault="00AE2C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CC"/>
    <w:family w:val="swiss"/>
    <w:pitch w:val="variable"/>
    <w:sig w:usb0="E1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BM Plex Sans">
    <w:panose1 w:val="020B0503050000000000"/>
    <w:charset w:val="4D"/>
    <w:family w:val="swiss"/>
    <w:notTrueType/>
    <w:pitch w:val="variable"/>
    <w:sig w:usb0="A000006F" w:usb1="5000207B" w:usb2="00000000" w:usb3="00000000" w:csb0="00000193"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Menlo">
    <w:panose1 w:val="020B0609030804020204"/>
    <w:charset w:val="00"/>
    <w:family w:val="modern"/>
    <w:pitch w:val="fixed"/>
    <w:sig w:usb0="E60022FF" w:usb1="D200F9FB" w:usb2="02000028" w:usb3="00000000" w:csb0="000001D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7F55E0" w14:textId="77777777" w:rsidR="007225A5" w:rsidRDefault="00FF00D1">
    <w:pPr>
      <w:pBdr>
        <w:top w:val="single" w:sz="1" w:space="4" w:color="CCCCCC"/>
      </w:pBdr>
      <w:jc w:val="center"/>
    </w:pPr>
    <w:proofErr w:type="gramStart"/>
    <w:r>
      <w:rPr>
        <w:color w:val="999999"/>
        <w:sz w:val="16"/>
        <w:szCs w:val="16"/>
      </w:rPr>
      <w:t>GOPA</w:t>
    </w:r>
    <w:r w:rsidR="002B6AA5">
      <w:rPr>
        <w:color w:val="999999"/>
        <w:sz w:val="16"/>
        <w:szCs w:val="16"/>
      </w:rPr>
      <w:t xml:space="preserve">  |</w:t>
    </w:r>
    <w:proofErr w:type="gramEnd"/>
    <w:r w:rsidR="002B6AA5">
      <w:rPr>
        <w:color w:val="999999"/>
        <w:sz w:val="16"/>
        <w:szCs w:val="16"/>
      </w:rPr>
      <w:t xml:space="preserve">  LUPMIS2 Database Schema Summary</w:t>
    </w:r>
    <w:proofErr w:type="gramStart"/>
    <w:r w:rsidR="002B6AA5">
      <w:rPr>
        <w:color w:val="999999"/>
        <w:sz w:val="16"/>
        <w:szCs w:val="16"/>
      </w:rPr>
      <w:t xml:space="preserve">  |</w:t>
    </w:r>
    <w:proofErr w:type="gramEnd"/>
    <w:r w:rsidR="002B6AA5">
      <w:rPr>
        <w:color w:val="999999"/>
        <w:sz w:val="16"/>
        <w:szCs w:val="16"/>
      </w:rPr>
      <w:t xml:space="preserve">  Page </w:t>
    </w:r>
    <w:r w:rsidR="002B6AA5">
      <w:rPr>
        <w:color w:val="999999"/>
        <w:sz w:val="16"/>
        <w:szCs w:val="16"/>
      </w:rPr>
      <w:fldChar w:fldCharType="begin"/>
    </w:r>
    <w:r w:rsidR="002B6AA5">
      <w:rPr>
        <w:color w:val="999999"/>
        <w:sz w:val="16"/>
        <w:szCs w:val="16"/>
      </w:rPr>
      <w:instrText>PAGE</w:instrText>
    </w:r>
    <w:r w:rsidR="002B6AA5">
      <w:rPr>
        <w:color w:val="999999"/>
        <w:sz w:val="16"/>
        <w:szCs w:val="16"/>
      </w:rPr>
      <w:fldChar w:fldCharType="separate"/>
    </w:r>
    <w:r w:rsidR="00E124F3">
      <w:rPr>
        <w:noProof/>
        <w:color w:val="999999"/>
        <w:sz w:val="16"/>
        <w:szCs w:val="16"/>
      </w:rPr>
      <w:t>2</w:t>
    </w:r>
    <w:r w:rsidR="002B6AA5">
      <w:rPr>
        <w:color w:val="99999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9858AA1" w14:textId="77777777" w:rsidR="00AE2CBB" w:rsidRDefault="00AE2CBB">
      <w:r>
        <w:separator/>
      </w:r>
    </w:p>
  </w:footnote>
  <w:footnote w:type="continuationSeparator" w:id="0">
    <w:p w14:paraId="2D2B7F7F" w14:textId="77777777" w:rsidR="00AE2CBB" w:rsidRDefault="00AE2C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9BCA0B" w14:textId="77777777" w:rsidR="00FF00D1" w:rsidRDefault="00FF00D1" w:rsidP="00FF00D1">
    <w:pPr>
      <w:pStyle w:val="Kopfzeile"/>
    </w:pPr>
    <w:r>
      <w:rPr>
        <w:rFonts w:ascii="IBM Plex Sans" w:hAnsi="IBM Plex Sans"/>
        <w:noProof/>
      </w:rPr>
      <w:drawing>
        <wp:anchor distT="0" distB="0" distL="114300" distR="114300" simplePos="0" relativeHeight="251659264" behindDoc="0" locked="0" layoutInCell="1" allowOverlap="1" wp14:anchorId="50EF76EE" wp14:editId="0DB2641A">
          <wp:simplePos x="0" y="0"/>
          <wp:positionH relativeFrom="column">
            <wp:posOffset>-82955</wp:posOffset>
          </wp:positionH>
          <wp:positionV relativeFrom="paragraph">
            <wp:posOffset>182534</wp:posOffset>
          </wp:positionV>
          <wp:extent cx="1247775" cy="554355"/>
          <wp:effectExtent l="0" t="0" r="0" b="4445"/>
          <wp:wrapNone/>
          <wp:docPr id="192104447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044471" name="Grafik 1921044471"/>
                  <pic:cNvPicPr/>
                </pic:nvPicPr>
                <pic:blipFill>
                  <a:blip r:embed="rId1">
                    <a:extLst>
                      <a:ext uri="{28A0092B-C50C-407E-A947-70E740481C1C}">
                        <a14:useLocalDpi xmlns:a14="http://schemas.microsoft.com/office/drawing/2010/main" val="0"/>
                      </a:ext>
                    </a:extLst>
                  </a:blip>
                  <a:stretch>
                    <a:fillRect/>
                  </a:stretch>
                </pic:blipFill>
                <pic:spPr>
                  <a:xfrm>
                    <a:off x="0" y="0"/>
                    <a:ext cx="1247775" cy="554355"/>
                  </a:xfrm>
                  <a:prstGeom prst="rect">
                    <a:avLst/>
                  </a:prstGeom>
                </pic:spPr>
              </pic:pic>
            </a:graphicData>
          </a:graphic>
          <wp14:sizeRelH relativeFrom="margin">
            <wp14:pctWidth>0</wp14:pctWidth>
          </wp14:sizeRelH>
          <wp14:sizeRelV relativeFrom="margin">
            <wp14:pctHeight>0</wp14:pctHeight>
          </wp14:sizeRelV>
        </wp:anchor>
      </w:drawing>
    </w:r>
  </w:p>
  <w:tbl>
    <w:tblPr>
      <w:tblW w:w="7087" w:type="dxa"/>
      <w:tblInd w:w="197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111"/>
      <w:gridCol w:w="2976"/>
    </w:tblGrid>
    <w:tr w:rsidR="00FF00D1" w14:paraId="2A20D306" w14:textId="77777777" w:rsidTr="009A2347">
      <w:tc>
        <w:tcPr>
          <w:tcW w:w="4111" w:type="dxa"/>
        </w:tcPr>
        <w:p w14:paraId="69A2E7D4" w14:textId="77777777" w:rsidR="00FF00D1" w:rsidRDefault="00FF00D1" w:rsidP="00FF00D1">
          <w:r>
            <w:fldChar w:fldCharType="begin"/>
          </w:r>
          <w:r>
            <w:instrText xml:space="preserve"> SUBJECT  \* MERGEFORMAT </w:instrText>
          </w:r>
          <w:r>
            <w:fldChar w:fldCharType="end"/>
          </w:r>
        </w:p>
      </w:tc>
      <w:tc>
        <w:tcPr>
          <w:tcW w:w="2976" w:type="dxa"/>
        </w:tcPr>
        <w:p w14:paraId="29A49625" w14:textId="77777777" w:rsidR="00FF00D1" w:rsidRDefault="00FF00D1" w:rsidP="00FF00D1">
          <w:pPr>
            <w:tabs>
              <w:tab w:val="left" w:pos="1135"/>
            </w:tabs>
            <w:spacing w:before="40"/>
            <w:ind w:right="68"/>
          </w:pPr>
          <w:r>
            <w:t xml:space="preserve">  Version:           1.0</w:t>
          </w:r>
        </w:p>
      </w:tc>
    </w:tr>
    <w:tr w:rsidR="00FF00D1" w14:paraId="6F494568" w14:textId="77777777" w:rsidTr="009A2347">
      <w:tc>
        <w:tcPr>
          <w:tcW w:w="4111" w:type="dxa"/>
        </w:tcPr>
        <w:p w14:paraId="484C4EE4" w14:textId="77777777" w:rsidR="00FF00D1" w:rsidRPr="00FF00D1" w:rsidRDefault="00FF00D1" w:rsidP="00FF00D1">
          <w:pPr>
            <w:rPr>
              <w:sz w:val="20"/>
              <w:szCs w:val="20"/>
            </w:rPr>
          </w:pPr>
          <w:r w:rsidRPr="00FF00D1">
            <w:rPr>
              <w:i/>
              <w:iCs/>
              <w:color w:val="999999"/>
              <w:sz w:val="20"/>
              <w:szCs w:val="20"/>
            </w:rPr>
            <w:t>LUPMIS2 Database Schema Summary</w:t>
          </w:r>
        </w:p>
        <w:p w14:paraId="327B6622" w14:textId="77777777" w:rsidR="00FF00D1" w:rsidRDefault="00FF00D1" w:rsidP="00FF00D1"/>
      </w:tc>
      <w:tc>
        <w:tcPr>
          <w:tcW w:w="2976" w:type="dxa"/>
        </w:tcPr>
        <w:p w14:paraId="4309F002" w14:textId="77777777" w:rsidR="00FF00D1" w:rsidRDefault="00FF00D1" w:rsidP="00FF00D1"/>
      </w:tc>
    </w:tr>
  </w:tbl>
  <w:p w14:paraId="68F887F6" w14:textId="77777777" w:rsidR="007225A5" w:rsidRDefault="007225A5" w:rsidP="00FF00D1">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3D14E62"/>
    <w:multiLevelType w:val="hybridMultilevel"/>
    <w:tmpl w:val="75CE0176"/>
    <w:lvl w:ilvl="0" w:tplc="8F1A652A">
      <w:start w:val="1"/>
      <w:numFmt w:val="bullet"/>
      <w:lvlText w:val="•"/>
      <w:lvlJc w:val="left"/>
      <w:pPr>
        <w:ind w:left="720" w:hanging="360"/>
      </w:pPr>
    </w:lvl>
    <w:lvl w:ilvl="1" w:tplc="8B8ACFE2">
      <w:numFmt w:val="decimal"/>
      <w:lvlText w:val=""/>
      <w:lvlJc w:val="left"/>
    </w:lvl>
    <w:lvl w:ilvl="2" w:tplc="D1D6877E">
      <w:numFmt w:val="decimal"/>
      <w:lvlText w:val=""/>
      <w:lvlJc w:val="left"/>
    </w:lvl>
    <w:lvl w:ilvl="3" w:tplc="5044C660">
      <w:numFmt w:val="decimal"/>
      <w:lvlText w:val=""/>
      <w:lvlJc w:val="left"/>
    </w:lvl>
    <w:lvl w:ilvl="4" w:tplc="E058533C">
      <w:numFmt w:val="decimal"/>
      <w:lvlText w:val=""/>
      <w:lvlJc w:val="left"/>
    </w:lvl>
    <w:lvl w:ilvl="5" w:tplc="A014B8E6">
      <w:numFmt w:val="decimal"/>
      <w:lvlText w:val=""/>
      <w:lvlJc w:val="left"/>
    </w:lvl>
    <w:lvl w:ilvl="6" w:tplc="F3C2F5A8">
      <w:numFmt w:val="decimal"/>
      <w:lvlText w:val=""/>
      <w:lvlJc w:val="left"/>
    </w:lvl>
    <w:lvl w:ilvl="7" w:tplc="CCCEA62E">
      <w:numFmt w:val="decimal"/>
      <w:lvlText w:val=""/>
      <w:lvlJc w:val="left"/>
    </w:lvl>
    <w:lvl w:ilvl="8" w:tplc="CFA44C4E">
      <w:numFmt w:val="decimal"/>
      <w:lvlText w:val=""/>
      <w:lvlJc w:val="left"/>
    </w:lvl>
  </w:abstractNum>
  <w:abstractNum w:abstractNumId="1" w15:restartNumberingAfterBreak="0">
    <w:nsid w:val="2E622A17"/>
    <w:multiLevelType w:val="hybridMultilevel"/>
    <w:tmpl w:val="CFB85480"/>
    <w:lvl w:ilvl="0" w:tplc="101E9D50">
      <w:start w:val="1"/>
      <w:numFmt w:val="bullet"/>
      <w:lvlText w:val="•"/>
      <w:lvlJc w:val="left"/>
      <w:pPr>
        <w:ind w:left="720" w:hanging="360"/>
      </w:pPr>
    </w:lvl>
    <w:lvl w:ilvl="1" w:tplc="A43AEC48">
      <w:numFmt w:val="decimal"/>
      <w:lvlText w:val=""/>
      <w:lvlJc w:val="left"/>
    </w:lvl>
    <w:lvl w:ilvl="2" w:tplc="040C8C88">
      <w:numFmt w:val="decimal"/>
      <w:lvlText w:val=""/>
      <w:lvlJc w:val="left"/>
    </w:lvl>
    <w:lvl w:ilvl="3" w:tplc="B270097C">
      <w:numFmt w:val="decimal"/>
      <w:lvlText w:val=""/>
      <w:lvlJc w:val="left"/>
    </w:lvl>
    <w:lvl w:ilvl="4" w:tplc="241CC0E8">
      <w:numFmt w:val="decimal"/>
      <w:lvlText w:val=""/>
      <w:lvlJc w:val="left"/>
    </w:lvl>
    <w:lvl w:ilvl="5" w:tplc="39061F8A">
      <w:numFmt w:val="decimal"/>
      <w:lvlText w:val=""/>
      <w:lvlJc w:val="left"/>
    </w:lvl>
    <w:lvl w:ilvl="6" w:tplc="5E568876">
      <w:numFmt w:val="decimal"/>
      <w:lvlText w:val=""/>
      <w:lvlJc w:val="left"/>
    </w:lvl>
    <w:lvl w:ilvl="7" w:tplc="C1CE8022">
      <w:numFmt w:val="decimal"/>
      <w:lvlText w:val=""/>
      <w:lvlJc w:val="left"/>
    </w:lvl>
    <w:lvl w:ilvl="8" w:tplc="358A7FE4">
      <w:numFmt w:val="decimal"/>
      <w:lvlText w:val=""/>
      <w:lvlJc w:val="left"/>
    </w:lvl>
  </w:abstractNum>
  <w:abstractNum w:abstractNumId="2" w15:restartNumberingAfterBreak="0">
    <w:nsid w:val="453F4DBC"/>
    <w:multiLevelType w:val="hybridMultilevel"/>
    <w:tmpl w:val="C7ACC4D4"/>
    <w:lvl w:ilvl="0" w:tplc="A26A4618">
      <w:start w:val="1"/>
      <w:numFmt w:val="bullet"/>
      <w:lvlText w:val="•"/>
      <w:lvlJc w:val="left"/>
      <w:pPr>
        <w:ind w:left="720" w:hanging="360"/>
      </w:pPr>
    </w:lvl>
    <w:lvl w:ilvl="1" w:tplc="6C741206">
      <w:numFmt w:val="decimal"/>
      <w:lvlText w:val=""/>
      <w:lvlJc w:val="left"/>
    </w:lvl>
    <w:lvl w:ilvl="2" w:tplc="DC5416AC">
      <w:numFmt w:val="decimal"/>
      <w:lvlText w:val=""/>
      <w:lvlJc w:val="left"/>
    </w:lvl>
    <w:lvl w:ilvl="3" w:tplc="2F3EDA46">
      <w:numFmt w:val="decimal"/>
      <w:lvlText w:val=""/>
      <w:lvlJc w:val="left"/>
    </w:lvl>
    <w:lvl w:ilvl="4" w:tplc="373E9FFC">
      <w:numFmt w:val="decimal"/>
      <w:lvlText w:val=""/>
      <w:lvlJc w:val="left"/>
    </w:lvl>
    <w:lvl w:ilvl="5" w:tplc="382C506C">
      <w:numFmt w:val="decimal"/>
      <w:lvlText w:val=""/>
      <w:lvlJc w:val="left"/>
    </w:lvl>
    <w:lvl w:ilvl="6" w:tplc="C7B0219C">
      <w:numFmt w:val="decimal"/>
      <w:lvlText w:val=""/>
      <w:lvlJc w:val="left"/>
    </w:lvl>
    <w:lvl w:ilvl="7" w:tplc="AC384D0A">
      <w:numFmt w:val="decimal"/>
      <w:lvlText w:val=""/>
      <w:lvlJc w:val="left"/>
    </w:lvl>
    <w:lvl w:ilvl="8" w:tplc="CB24CAD4">
      <w:numFmt w:val="decimal"/>
      <w:lvlText w:val=""/>
      <w:lvlJc w:val="left"/>
    </w:lvl>
  </w:abstractNum>
  <w:abstractNum w:abstractNumId="3" w15:restartNumberingAfterBreak="0">
    <w:nsid w:val="64C77784"/>
    <w:multiLevelType w:val="hybridMultilevel"/>
    <w:tmpl w:val="BBC28EB8"/>
    <w:lvl w:ilvl="0" w:tplc="C2D60420">
      <w:start w:val="1"/>
      <w:numFmt w:val="bullet"/>
      <w:lvlText w:val="●"/>
      <w:lvlJc w:val="left"/>
      <w:pPr>
        <w:ind w:left="720" w:hanging="360"/>
      </w:pPr>
    </w:lvl>
    <w:lvl w:ilvl="1" w:tplc="95FEDDB8">
      <w:start w:val="1"/>
      <w:numFmt w:val="bullet"/>
      <w:lvlText w:val="○"/>
      <w:lvlJc w:val="left"/>
      <w:pPr>
        <w:ind w:left="1440" w:hanging="360"/>
      </w:pPr>
    </w:lvl>
    <w:lvl w:ilvl="2" w:tplc="6F268602">
      <w:start w:val="1"/>
      <w:numFmt w:val="bullet"/>
      <w:lvlText w:val="■"/>
      <w:lvlJc w:val="left"/>
      <w:pPr>
        <w:ind w:left="2160" w:hanging="360"/>
      </w:pPr>
    </w:lvl>
    <w:lvl w:ilvl="3" w:tplc="6E2AB020">
      <w:start w:val="1"/>
      <w:numFmt w:val="bullet"/>
      <w:lvlText w:val="●"/>
      <w:lvlJc w:val="left"/>
      <w:pPr>
        <w:ind w:left="2880" w:hanging="360"/>
      </w:pPr>
    </w:lvl>
    <w:lvl w:ilvl="4" w:tplc="71F66538">
      <w:start w:val="1"/>
      <w:numFmt w:val="bullet"/>
      <w:lvlText w:val="○"/>
      <w:lvlJc w:val="left"/>
      <w:pPr>
        <w:ind w:left="3600" w:hanging="360"/>
      </w:pPr>
    </w:lvl>
    <w:lvl w:ilvl="5" w:tplc="6E48485E">
      <w:start w:val="1"/>
      <w:numFmt w:val="bullet"/>
      <w:lvlText w:val="■"/>
      <w:lvlJc w:val="left"/>
      <w:pPr>
        <w:ind w:left="4320" w:hanging="360"/>
      </w:pPr>
    </w:lvl>
    <w:lvl w:ilvl="6" w:tplc="CE96DC80">
      <w:start w:val="1"/>
      <w:numFmt w:val="bullet"/>
      <w:lvlText w:val="●"/>
      <w:lvlJc w:val="left"/>
      <w:pPr>
        <w:ind w:left="5040" w:hanging="360"/>
      </w:pPr>
    </w:lvl>
    <w:lvl w:ilvl="7" w:tplc="B9CECC7A">
      <w:start w:val="1"/>
      <w:numFmt w:val="bullet"/>
      <w:lvlText w:val="●"/>
      <w:lvlJc w:val="left"/>
      <w:pPr>
        <w:ind w:left="5760" w:hanging="360"/>
      </w:pPr>
    </w:lvl>
    <w:lvl w:ilvl="8" w:tplc="1134570A">
      <w:start w:val="1"/>
      <w:numFmt w:val="bullet"/>
      <w:lvlText w:val="●"/>
      <w:lvlJc w:val="left"/>
      <w:pPr>
        <w:ind w:left="6480" w:hanging="360"/>
      </w:pPr>
    </w:lvl>
  </w:abstractNum>
  <w:abstractNum w:abstractNumId="4" w15:restartNumberingAfterBreak="0">
    <w:nsid w:val="67D46B26"/>
    <w:multiLevelType w:val="hybridMultilevel"/>
    <w:tmpl w:val="A2CC07CC"/>
    <w:lvl w:ilvl="0" w:tplc="72CA0E8E">
      <w:start w:val="1"/>
      <w:numFmt w:val="bullet"/>
      <w:lvlText w:val="•"/>
      <w:lvlJc w:val="left"/>
      <w:pPr>
        <w:ind w:left="720" w:hanging="360"/>
      </w:pPr>
    </w:lvl>
    <w:lvl w:ilvl="1" w:tplc="C10215A8">
      <w:numFmt w:val="decimal"/>
      <w:lvlText w:val=""/>
      <w:lvlJc w:val="left"/>
    </w:lvl>
    <w:lvl w:ilvl="2" w:tplc="31469E24">
      <w:numFmt w:val="decimal"/>
      <w:lvlText w:val=""/>
      <w:lvlJc w:val="left"/>
    </w:lvl>
    <w:lvl w:ilvl="3" w:tplc="4F7EE41A">
      <w:numFmt w:val="decimal"/>
      <w:lvlText w:val=""/>
      <w:lvlJc w:val="left"/>
    </w:lvl>
    <w:lvl w:ilvl="4" w:tplc="52C25704">
      <w:numFmt w:val="decimal"/>
      <w:lvlText w:val=""/>
      <w:lvlJc w:val="left"/>
    </w:lvl>
    <w:lvl w:ilvl="5" w:tplc="B9DA91CE">
      <w:numFmt w:val="decimal"/>
      <w:lvlText w:val=""/>
      <w:lvlJc w:val="left"/>
    </w:lvl>
    <w:lvl w:ilvl="6" w:tplc="16DC6126">
      <w:numFmt w:val="decimal"/>
      <w:lvlText w:val=""/>
      <w:lvlJc w:val="left"/>
    </w:lvl>
    <w:lvl w:ilvl="7" w:tplc="5C6CFF0A">
      <w:numFmt w:val="decimal"/>
      <w:lvlText w:val=""/>
      <w:lvlJc w:val="left"/>
    </w:lvl>
    <w:lvl w:ilvl="8" w:tplc="BB762600">
      <w:numFmt w:val="decimal"/>
      <w:lvlText w:val=""/>
      <w:lvlJc w:val="left"/>
    </w:lvl>
  </w:abstractNum>
  <w:abstractNum w:abstractNumId="5" w15:restartNumberingAfterBreak="0">
    <w:nsid w:val="6E2C704A"/>
    <w:multiLevelType w:val="hybridMultilevel"/>
    <w:tmpl w:val="09904268"/>
    <w:lvl w:ilvl="0" w:tplc="08002240">
      <w:start w:val="1"/>
      <w:numFmt w:val="bullet"/>
      <w:lvlText w:val="•"/>
      <w:lvlJc w:val="left"/>
      <w:pPr>
        <w:ind w:left="720" w:hanging="360"/>
      </w:pPr>
    </w:lvl>
    <w:lvl w:ilvl="1" w:tplc="51405A52">
      <w:numFmt w:val="decimal"/>
      <w:lvlText w:val=""/>
      <w:lvlJc w:val="left"/>
    </w:lvl>
    <w:lvl w:ilvl="2" w:tplc="923A24CA">
      <w:numFmt w:val="decimal"/>
      <w:lvlText w:val=""/>
      <w:lvlJc w:val="left"/>
    </w:lvl>
    <w:lvl w:ilvl="3" w:tplc="CF08FE5E">
      <w:numFmt w:val="decimal"/>
      <w:lvlText w:val=""/>
      <w:lvlJc w:val="left"/>
    </w:lvl>
    <w:lvl w:ilvl="4" w:tplc="0792B0EA">
      <w:numFmt w:val="decimal"/>
      <w:lvlText w:val=""/>
      <w:lvlJc w:val="left"/>
    </w:lvl>
    <w:lvl w:ilvl="5" w:tplc="8E166892">
      <w:numFmt w:val="decimal"/>
      <w:lvlText w:val=""/>
      <w:lvlJc w:val="left"/>
    </w:lvl>
    <w:lvl w:ilvl="6" w:tplc="3904D9F4">
      <w:numFmt w:val="decimal"/>
      <w:lvlText w:val=""/>
      <w:lvlJc w:val="left"/>
    </w:lvl>
    <w:lvl w:ilvl="7" w:tplc="0C40744E">
      <w:numFmt w:val="decimal"/>
      <w:lvlText w:val=""/>
      <w:lvlJc w:val="left"/>
    </w:lvl>
    <w:lvl w:ilvl="8" w:tplc="69CE74E2">
      <w:numFmt w:val="decimal"/>
      <w:lvlText w:val=""/>
      <w:lvlJc w:val="left"/>
    </w:lvl>
  </w:abstractNum>
  <w:abstractNum w:abstractNumId="6" w15:restartNumberingAfterBreak="0">
    <w:nsid w:val="7BCB6157"/>
    <w:multiLevelType w:val="hybridMultilevel"/>
    <w:tmpl w:val="36025970"/>
    <w:lvl w:ilvl="0" w:tplc="7A4E9CE0">
      <w:start w:val="1"/>
      <w:numFmt w:val="bullet"/>
      <w:lvlText w:val="•"/>
      <w:lvlJc w:val="left"/>
      <w:pPr>
        <w:ind w:left="720" w:hanging="360"/>
      </w:pPr>
    </w:lvl>
    <w:lvl w:ilvl="1" w:tplc="E2709336">
      <w:numFmt w:val="decimal"/>
      <w:lvlText w:val=""/>
      <w:lvlJc w:val="left"/>
    </w:lvl>
    <w:lvl w:ilvl="2" w:tplc="2B6E6200">
      <w:numFmt w:val="decimal"/>
      <w:lvlText w:val=""/>
      <w:lvlJc w:val="left"/>
    </w:lvl>
    <w:lvl w:ilvl="3" w:tplc="F52644B4">
      <w:numFmt w:val="decimal"/>
      <w:lvlText w:val=""/>
      <w:lvlJc w:val="left"/>
    </w:lvl>
    <w:lvl w:ilvl="4" w:tplc="007E4902">
      <w:numFmt w:val="decimal"/>
      <w:lvlText w:val=""/>
      <w:lvlJc w:val="left"/>
    </w:lvl>
    <w:lvl w:ilvl="5" w:tplc="4A065B6C">
      <w:numFmt w:val="decimal"/>
      <w:lvlText w:val=""/>
      <w:lvlJc w:val="left"/>
    </w:lvl>
    <w:lvl w:ilvl="6" w:tplc="D1949016">
      <w:numFmt w:val="decimal"/>
      <w:lvlText w:val=""/>
      <w:lvlJc w:val="left"/>
    </w:lvl>
    <w:lvl w:ilvl="7" w:tplc="2D2068FE">
      <w:numFmt w:val="decimal"/>
      <w:lvlText w:val=""/>
      <w:lvlJc w:val="left"/>
    </w:lvl>
    <w:lvl w:ilvl="8" w:tplc="345027CE">
      <w:numFmt w:val="decimal"/>
      <w:lvlText w:val=""/>
      <w:lvlJc w:val="left"/>
    </w:lvl>
  </w:abstractNum>
  <w:num w:numId="1" w16cid:durableId="1472747989">
    <w:abstractNumId w:val="3"/>
    <w:lvlOverride w:ilvl="0">
      <w:startOverride w:val="1"/>
    </w:lvlOverride>
  </w:num>
  <w:num w:numId="2" w16cid:durableId="197932685">
    <w:abstractNumId w:val="5"/>
    <w:lvlOverride w:ilvl="0">
      <w:startOverride w:val="1"/>
    </w:lvlOverride>
  </w:num>
  <w:num w:numId="3" w16cid:durableId="758254462">
    <w:abstractNumId w:val="2"/>
    <w:lvlOverride w:ilvl="0">
      <w:startOverride w:val="1"/>
    </w:lvlOverride>
  </w:num>
  <w:num w:numId="4" w16cid:durableId="624507334">
    <w:abstractNumId w:val="6"/>
    <w:lvlOverride w:ilvl="0">
      <w:startOverride w:val="1"/>
    </w:lvlOverride>
  </w:num>
  <w:num w:numId="5" w16cid:durableId="1079716947">
    <w:abstractNumId w:val="0"/>
    <w:lvlOverride w:ilvl="0">
      <w:startOverride w:val="1"/>
    </w:lvlOverride>
  </w:num>
  <w:num w:numId="6" w16cid:durableId="71393775">
    <w:abstractNumId w:val="4"/>
    <w:lvlOverride w:ilvl="0">
      <w:startOverride w:val="1"/>
    </w:lvlOverride>
  </w:num>
  <w:num w:numId="7" w16cid:durableId="73432860">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259"/>
  <w:displayBackgroundShape/>
  <w:activeWritingStyle w:appName="MSWord" w:lang="de-DE" w:vendorID="64" w:dllVersion="4096" w:nlCheck="1" w:checkStyle="0"/>
  <w:activeWritingStyle w:appName="MSWord" w:lang="en-GB" w:vendorID="64" w:dllVersion="4096" w:nlCheck="1" w:checkStyle="0"/>
  <w:activeWritingStyle w:appName="MSWord" w:lang="en-US" w:vendorID="64" w:dllVersion="4096" w:nlCheck="1" w:checkStyle="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25A5"/>
    <w:rsid w:val="00064D22"/>
    <w:rsid w:val="001D5305"/>
    <w:rsid w:val="002B6AA5"/>
    <w:rsid w:val="002C33F2"/>
    <w:rsid w:val="002E7223"/>
    <w:rsid w:val="0032655B"/>
    <w:rsid w:val="003E024E"/>
    <w:rsid w:val="00474BB0"/>
    <w:rsid w:val="004F4959"/>
    <w:rsid w:val="005960E2"/>
    <w:rsid w:val="00686FA7"/>
    <w:rsid w:val="007225A5"/>
    <w:rsid w:val="00763ECD"/>
    <w:rsid w:val="007F5C09"/>
    <w:rsid w:val="008A700E"/>
    <w:rsid w:val="00922807"/>
    <w:rsid w:val="009242BA"/>
    <w:rsid w:val="009C3CE7"/>
    <w:rsid w:val="00AE2CBB"/>
    <w:rsid w:val="00BB41CB"/>
    <w:rsid w:val="00D5357A"/>
    <w:rsid w:val="00D55BC6"/>
    <w:rsid w:val="00E124F3"/>
    <w:rsid w:val="00F747BC"/>
    <w:rsid w:val="00FF00D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4D5F7"/>
  <w15:docId w15:val="{AE0649B0-6F5E-D14C-B800-24698CE6A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F00D1"/>
  </w:style>
  <w:style w:type="paragraph" w:styleId="berschrift1">
    <w:name w:val="heading 1"/>
    <w:uiPriority w:val="9"/>
    <w:qFormat/>
    <w:pPr>
      <w:spacing w:before="360" w:after="160"/>
      <w:outlineLvl w:val="0"/>
    </w:pPr>
    <w:rPr>
      <w:b/>
      <w:bCs/>
      <w:color w:val="1E1A4B"/>
      <w:sz w:val="32"/>
      <w:szCs w:val="32"/>
    </w:rPr>
  </w:style>
  <w:style w:type="paragraph" w:styleId="berschrift2">
    <w:name w:val="heading 2"/>
    <w:uiPriority w:val="9"/>
    <w:unhideWhenUsed/>
    <w:qFormat/>
    <w:pPr>
      <w:spacing w:before="240" w:after="120"/>
      <w:outlineLvl w:val="1"/>
    </w:pPr>
    <w:rPr>
      <w:b/>
      <w:bCs/>
      <w:color w:val="1E1A4B"/>
      <w:sz w:val="26"/>
      <w:szCs w:val="26"/>
    </w:rPr>
  </w:style>
  <w:style w:type="paragraph" w:styleId="berschrift3">
    <w:name w:val="heading 3"/>
    <w:uiPriority w:val="9"/>
    <w:unhideWhenUsed/>
    <w:qFormat/>
    <w:rsid w:val="00763ECD"/>
    <w:pPr>
      <w:spacing w:after="240"/>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rPr>
      <w:sz w:val="20"/>
      <w:szCs w:val="20"/>
    </w:rPr>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rPr>
      <w:sz w:val="20"/>
      <w:szCs w:val="20"/>
    </w:rPr>
  </w:style>
  <w:style w:type="character" w:customStyle="1" w:styleId="EndnotentextZchn">
    <w:name w:val="Endnotentext Zchn"/>
    <w:link w:val="Endnotentext"/>
    <w:uiPriority w:val="99"/>
    <w:semiHidden/>
    <w:unhideWhenUsed/>
    <w:rPr>
      <w:sz w:val="20"/>
      <w:szCs w:val="20"/>
    </w:rPr>
  </w:style>
  <w:style w:type="paragraph" w:customStyle="1" w:styleId="Style">
    <w:name w:val="Style"/>
    <w:rsid w:val="00FF00D1"/>
    <w:pPr>
      <w:widowControl w:val="0"/>
      <w:autoSpaceDE w:val="0"/>
      <w:autoSpaceDN w:val="0"/>
      <w:adjustRightInd w:val="0"/>
    </w:pPr>
    <w:rPr>
      <w:rFonts w:ascii="Times New Roman" w:eastAsiaTheme="minorEastAsia" w:hAnsi="Times New Roman" w:cs="Times New Roman"/>
      <w:sz w:val="24"/>
      <w:szCs w:val="24"/>
      <w:lang w:val="en-US" w:eastAsia="zh-CN"/>
    </w:rPr>
  </w:style>
  <w:style w:type="paragraph" w:styleId="Kopfzeile">
    <w:name w:val="header"/>
    <w:basedOn w:val="Standard"/>
    <w:link w:val="KopfzeileZchn"/>
    <w:uiPriority w:val="99"/>
    <w:unhideWhenUsed/>
    <w:rsid w:val="00FF00D1"/>
    <w:pPr>
      <w:tabs>
        <w:tab w:val="center" w:pos="4536"/>
        <w:tab w:val="right" w:pos="9072"/>
      </w:tabs>
    </w:pPr>
  </w:style>
  <w:style w:type="character" w:customStyle="1" w:styleId="KopfzeileZchn">
    <w:name w:val="Kopfzeile Zchn"/>
    <w:basedOn w:val="Absatz-Standardschriftart"/>
    <w:link w:val="Kopfzeile"/>
    <w:uiPriority w:val="99"/>
    <w:rsid w:val="00FF00D1"/>
  </w:style>
  <w:style w:type="paragraph" w:styleId="Fuzeile">
    <w:name w:val="footer"/>
    <w:basedOn w:val="Standard"/>
    <w:link w:val="FuzeileZchn"/>
    <w:uiPriority w:val="99"/>
    <w:unhideWhenUsed/>
    <w:rsid w:val="00FF00D1"/>
    <w:pPr>
      <w:tabs>
        <w:tab w:val="center" w:pos="4536"/>
        <w:tab w:val="right" w:pos="9072"/>
      </w:tabs>
    </w:pPr>
  </w:style>
  <w:style w:type="character" w:customStyle="1" w:styleId="FuzeileZchn">
    <w:name w:val="Fußzeile Zchn"/>
    <w:basedOn w:val="Absatz-Standardschriftart"/>
    <w:link w:val="Fuzeile"/>
    <w:uiPriority w:val="99"/>
    <w:rsid w:val="00FF00D1"/>
  </w:style>
  <w:style w:type="character" w:styleId="BesuchterLink">
    <w:name w:val="FollowedHyperlink"/>
    <w:basedOn w:val="Absatz-Standardschriftart"/>
    <w:uiPriority w:val="99"/>
    <w:semiHidden/>
    <w:unhideWhenUsed/>
    <w:rsid w:val="00763EC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pwa.lupmis4luspa.org"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2.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upmis.ammonvictor.co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pwa.lupmis4luspa.org" TargetMode="External"/><Relationship Id="rId4" Type="http://schemas.openxmlformats.org/officeDocument/2006/relationships/webSettings" Target="webSettings.xml"/><Relationship Id="rId9" Type="http://schemas.openxmlformats.org/officeDocument/2006/relationships/hyperlink" Target="https://lupmis.ammonvictor.com" TargetMode="External"/><Relationship Id="rId14" Type="http://schemas.openxmlformats.org/officeDocument/2006/relationships/footer" Target="footer1.xml"/><Relationship Id="rId17" Type="http://schemas.openxmlformats.org/officeDocument/2006/relationships/image" Target="media/image4.png"/><Relationship Id="rId18"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9419</Words>
  <Characters>61321</Characters>
  <Application>Microsoft Office Word</Application>
  <DocSecurity>0</DocSecurity>
  <Lines>1657</Lines>
  <Paragraphs>1645</Paragraphs>
  <ScaleCrop>false</ScaleCrop>
  <HeadingPairs>
    <vt:vector size="4" baseType="variant">
      <vt:variant>
        <vt:lpstr>Titel</vt:lpstr>
      </vt:variant>
      <vt:variant>
        <vt:i4>1</vt:i4>
      </vt:variant>
      <vt:variant>
        <vt:lpstr>Überschriften</vt:lpstr>
      </vt:variant>
      <vt:variant>
        <vt:i4>17</vt:i4>
      </vt:variant>
    </vt:vector>
  </HeadingPairs>
  <TitlesOfParts>
    <vt:vector size="18" baseType="lpstr">
      <vt:lpstr/>
      <vt:lpstr>1. Executive Summary</vt:lpstr>
      <vt:lpstr>2. Project Background</vt:lpstr>
      <vt:lpstr>3. Current Development Status</vt:lpstr>
      <vt:lpstr>4. Comparison with Functional Specifications</vt:lpstr>
      <vt:lpstr>5. Design &amp; Brand Compliance</vt:lpstr>
      <vt:lpstr>6. Stakeholder Engagement Summary</vt:lpstr>
      <vt:lpstr>    Key Findings</vt:lpstr>
      <vt:lpstr>    Integration Priorities</vt:lpstr>
      <vt:lpstr>7. Pilot District Workshop Feedback</vt:lpstr>
      <vt:lpstr>    Public Portal</vt:lpstr>
      <vt:lpstr>    District Backend</vt:lpstr>
      <vt:lpstr>    Drawing and Measurement Tools</vt:lpstr>
      <vt:lpstr>    Parcel Generator</vt:lpstr>
      <vt:lpstr>8. Technical Architecture Overview</vt:lpstr>
      <vt:lpstr>9. Deployment &amp; Access</vt:lpstr>
      <vt:lpstr>10. Upcoming Work &amp; Recommendations</vt:lpstr>
      <vt:lpstr>11. Conclusion</vt:lpstr>
    </vt:vector>
  </TitlesOfParts>
  <Company/>
  <LinksUpToDate>false</LinksUpToDate>
  <CharactersWithSpaces>69095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Ekkehardt Roth</cp:lastModifiedBy>
  <cp:revision>12</cp:revision>
  <dcterms:created xsi:type="dcterms:W3CDTF">2026-04-28T08:03:00Z</dcterms:created>
  <dcterms:modified xsi:type="dcterms:W3CDTF">2026-06-29T14:10:00Z</dcterms:modified>
</cp:coreProperties>
</file>