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pStyle w:val="berschrift1"/>
      </w:pPr>
      <w:r>
        <w:t>Open Issues and Development Estimates</w:t>
      </w:r>
    </w:p>
    <w:p>
      <w:pPr>
        <w:spacing w:after="200"/>
      </w:pPr>
      <w:r>
        <w:rPr>
          <w:rFonts w:ascii="Calibri" w:hAnsi="Calibri"/>
          <w:b w:val="0"/>
          <w:i/>
          <w:color w:val="6B7280"/>
          <w:sz w:val="20"/>
        </w:rPr>
        <w:t>LUPMIS2  ·  meeting handout  ·  18 September 2026</w:t>
      </w:r>
    </w:p>
    <w:p>
      <w:pPr>
        <w:spacing w:after="120"/>
      </w:pPr>
      <w:r>
        <w:rPr>
          <w:b w:val="0"/>
          <w:color w:val="6B7280"/>
          <w:sz w:val="20"/>
        </w:rPr>
        <w:t>Estimates are developer days for one developer, including testing, and exclude time spent waiting on other teams. They are planning figures, not commitments.</w:t>
      </w:r>
    </w:p>
    <w:p>
      <w:pPr>
        <w:pStyle w:val="berschrift2"/>
        <w:spacing w:after="80"/>
      </w:pPr>
      <w:r>
        <w:t>Ready to do now</w:t>
      </w:r>
    </w:p>
    <w:tbl>
      <w:tblPr>
        <w:tblW w:type="auto" w:w="0"/>
        <w:tblLook w:firstColumn="1" w:firstRow="1" w:lastColumn="0" w:lastRow="0" w:noHBand="0" w:noVBand="1" w:val="04A0"/>
        <w:tblLayout w:type="fixed"/>
        <w:tblBorders>
          <w:top w:val="single" w:sz="4" w:space="0" w:color="D9D9E3"/>
          <w:left w:val="single" w:sz="4" w:space="0" w:color="D9D9E3"/>
          <w:bottom w:val="single" w:sz="4" w:space="0" w:color="D9D9E3"/>
          <w:right w:val="single" w:sz="4" w:space="0" w:color="D9D9E3"/>
          <w:insideH w:val="single" w:sz="4" w:space="0" w:color="D9D9E3"/>
          <w:insideV w:val="single" w:sz="4" w:space="0" w:color="D9D9E3"/>
        </w:tblBorders>
      </w:tblPr>
      <w:tblGrid>
        <w:gridCol w:w="6926"/>
        <w:gridCol w:w="2100"/>
      </w:tblGrid>
      <w:tr>
        <w:trPr>
          <w:cantSplit/>
          <w:tblHeader/>
        </w:trPr>
        <w:tc>
          <w:tcPr>
            <w:tcW w:type="dxa" w:w="6926"/>
            <w:shd w:val="clear" w:fill="1E1A4B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FFFFFF"/>
                <w:sz w:val="20"/>
              </w:rPr>
              <w:t>Issue</w:t>
            </w:r>
          </w:p>
        </w:tc>
        <w:tc>
          <w:tcPr>
            <w:tcW w:type="dxa" w:w="2100"/>
            <w:shd w:val="clear" w:fill="1E1A4B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FFFFFF"/>
                <w:sz w:val="20"/>
              </w:rPr>
              <w:t>Estimate</w:t>
            </w:r>
          </w:p>
        </w:tc>
      </w:tr>
      <w:tr>
        <w:trPr>
          <w:cantSplit/>
        </w:trPr>
        <w:tc>
          <w:tcPr>
            <w:tcW w:type="dxa" w:w="6926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Deploy Service Worker v25</w:t>
            </w: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 — push the pending commits and status report, deploy, and confirm on one device that stored map tiles survive the update</w:t>
            </w:r>
          </w:p>
        </w:tc>
        <w:tc>
          <w:tcPr>
            <w:tcW w:type="dxa" w:w="2100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0.5 day</w:t>
            </w:r>
          </w:p>
        </w:tc>
      </w:tr>
      <w:tr>
        <w:trPr>
          <w:cantSplit/>
        </w:trPr>
        <w:tc>
          <w:tcPr>
            <w:tcW w:type="dxa" w:w="6926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CARTO key on the deployment build</w:t>
            </w: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 — add the key to the server build configuration; record who holds the CARTO account</w:t>
            </w:r>
          </w:p>
        </w:tc>
        <w:tc>
          <w:tcPr>
            <w:tcW w:type="dxa" w:w="2100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1 hour + admin</w:t>
            </w:r>
          </w:p>
        </w:tc>
      </w:tr>
      <w:tr>
        <w:trPr>
          <w:cantSplit/>
        </w:trPr>
        <w:tc>
          <w:tcPr>
            <w:tcW w:type="dxa" w:w="6926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Thunderforest key</w:t>
            </w: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 — move it out of the source code into configuration, like the CARTO key</w:t>
            </w:r>
          </w:p>
        </w:tc>
        <w:tc>
          <w:tcPr>
            <w:tcW w:type="dxa" w:w="2100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1 hour</w:t>
            </w:r>
          </w:p>
        </w:tc>
      </w:tr>
      <w:tr>
        <w:trPr>
          <w:cantSplit/>
        </w:trPr>
        <w:tc>
          <w:tcPr>
            <w:tcW w:type="dxa" w:w="6926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Radius adjuster on phones</w:t>
            </w: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 — test +/− target size and label position on an iPhone once the remote server is back; fix what turns up</w:t>
            </w:r>
          </w:p>
        </w:tc>
        <w:tc>
          <w:tcPr>
            <w:tcW w:type="dxa" w:w="2100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0.5–1.5 days</w:t>
            </w:r>
          </w:p>
        </w:tc>
      </w:tr>
      <w:tr>
        <w:trPr>
          <w:cantSplit/>
        </w:trPr>
        <w:tc>
          <w:tcPr>
            <w:tcW w:type="dxa" w:w="6926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Typed entry for the Area tool</w:t>
            </w: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 — agree the design first (two fields and a derived total), then build it with the same latitude correction as the circle</w:t>
            </w:r>
          </w:p>
        </w:tc>
        <w:tc>
          <w:tcPr>
            <w:tcW w:type="dxa" w:w="2100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2–3 days</w:t>
            </w:r>
          </w:p>
        </w:tc>
      </w:tr>
      <w:tr>
        <w:trPr>
          <w:cantSplit/>
        </w:trPr>
        <w:tc>
          <w:tcPr>
            <w:tcW w:type="dxa" w:w="6926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API token compiled into the client</w:t>
            </w: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 — move it behind a server-side session so it is no longer visible to users</w:t>
            </w:r>
          </w:p>
        </w:tc>
        <w:tc>
          <w:tcPr>
            <w:tcW w:type="dxa" w:w="2100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2–4 days</w:t>
            </w:r>
          </w:p>
        </w:tc>
      </w:tr>
      <w:tr>
        <w:trPr>
          <w:cantSplit/>
        </w:trPr>
        <w:tc>
          <w:tcPr>
            <w:tcW w:type="dxa" w:w="6926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Digital Earth Africa extract</w:t>
            </w: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 — run it for the pilot district — the first end-to-end test of the raster path</w:t>
            </w:r>
          </w:p>
        </w:tc>
        <w:tc>
          <w:tcPr>
            <w:tcW w:type="dxa" w:w="2100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1–2 days</w:t>
            </w:r>
          </w:p>
        </w:tc>
      </w:tr>
      <w:tr>
        <w:trPr>
          <w:cantSplit/>
        </w:trPr>
        <w:tc>
          <w:tcPr>
            <w:tcW w:type="dxa" w:w="6926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User manual Part 2</w:t>
            </w: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 — drawing and digitising tools, once the toolbar has had a settled period in the field</w:t>
            </w:r>
          </w:p>
        </w:tc>
        <w:tc>
          <w:tcPr>
            <w:tcW w:type="dxa" w:w="2100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3–4 days</w:t>
            </w:r>
          </w:p>
        </w:tc>
      </w:tr>
    </w:tbl>
    <w:p>
      <w:pPr>
        <w:spacing w:after="160" w:before="60"/>
        <w:jc w:val="right"/>
      </w:pPr>
      <w:r>
        <w:rPr>
          <w:b/>
          <w:color w:val="333333"/>
          <w:sz w:val="20"/>
        </w:rPr>
        <w:t>Subtotal: about 10–16 days</w:t>
      </w:r>
    </w:p>
    <w:p>
      <w:pPr>
        <w:pStyle w:val="berschrift2"/>
        <w:spacing w:after="80"/>
      </w:pPr>
      <w:r>
        <w:t>Waiting on other teams</w:t>
      </w:r>
    </w:p>
    <w:tbl>
      <w:tblPr>
        <w:tblW w:type="auto" w:w="0"/>
        <w:tblLook w:firstColumn="1" w:firstRow="1" w:lastColumn="0" w:lastRow="0" w:noHBand="0" w:noVBand="1" w:val="04A0"/>
        <w:tblLayout w:type="fixed"/>
        <w:tblBorders>
          <w:top w:val="single" w:sz="4" w:space="0" w:color="D9D9E3"/>
          <w:left w:val="single" w:sz="4" w:space="0" w:color="D9D9E3"/>
          <w:bottom w:val="single" w:sz="4" w:space="0" w:color="D9D9E3"/>
          <w:right w:val="single" w:sz="4" w:space="0" w:color="D9D9E3"/>
          <w:insideH w:val="single" w:sz="4" w:space="0" w:color="D9D9E3"/>
          <w:insideV w:val="single" w:sz="4" w:space="0" w:color="D9D9E3"/>
        </w:tblBorders>
      </w:tblPr>
      <w:tblGrid>
        <w:gridCol w:w="6926"/>
        <w:gridCol w:w="2100"/>
      </w:tblGrid>
      <w:tr>
        <w:trPr>
          <w:cantSplit/>
          <w:tblHeader/>
        </w:trPr>
        <w:tc>
          <w:tcPr>
            <w:tcW w:type="dxa" w:w="6926"/>
            <w:shd w:val="clear" w:fill="1E1A4B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FFFFFF"/>
                <w:sz w:val="20"/>
              </w:rPr>
              <w:t>Issue (owner)</w:t>
            </w:r>
          </w:p>
        </w:tc>
        <w:tc>
          <w:tcPr>
            <w:tcW w:type="dxa" w:w="2100"/>
            <w:shd w:val="clear" w:fill="1E1A4B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FFFFFF"/>
                <w:sz w:val="20"/>
              </w:rPr>
              <w:t>App work once delivered</w:t>
            </w:r>
          </w:p>
        </w:tc>
      </w:tr>
      <w:tr>
        <w:trPr>
          <w:cantSplit/>
        </w:trPr>
        <w:tc>
          <w:tcPr>
            <w:tcW w:type="dxa" w:w="6926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GPS trail endpoint (database team)</w:t>
            </w: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 — outstanding since May</w:t>
            </w:r>
          </w:p>
        </w:tc>
        <w:tc>
          <w:tcPr>
            <w:tcW w:type="dxa" w:w="2100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1–2 days</w:t>
            </w:r>
          </w:p>
        </w:tc>
      </w:tr>
      <w:tr>
        <w:trPr>
          <w:cantSplit/>
        </w:trPr>
        <w:tc>
          <w:tcPr>
            <w:tcW w:type="dxa" w:w="6926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Staged-upload and import-status endpoints (database team)</w:t>
            </w: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 — app side of the upload workflow</w:t>
            </w:r>
          </w:p>
        </w:tc>
        <w:tc>
          <w:tcPr>
            <w:tcW w:type="dxa" w:w="2100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3–5 days</w:t>
            </w:r>
          </w:p>
        </w:tc>
      </w:tr>
      <w:tr>
        <w:trPr>
          <w:cantSplit/>
        </w:trPr>
        <w:tc>
          <w:tcPr>
            <w:tcW w:type="dxa" w:w="6926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Duplicate parcel number policy (database team)</w:t>
            </w: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 — a decision is needed on the upload staging table</w:t>
            </w:r>
          </w:p>
        </w:tc>
        <w:tc>
          <w:tcPr>
            <w:tcW w:type="dxa" w:w="2100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0.5 day</w:t>
            </w:r>
          </w:p>
        </w:tc>
      </w:tr>
      <w:tr>
        <w:trPr>
          <w:cantSplit/>
        </w:trPr>
        <w:tc>
          <w:tcPr>
            <w:tcW w:type="dxa" w:w="6926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Supervisor review interface (database team)</w:t>
            </w: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 — for staged uploads; separate estimate needed if built inside the app</w:t>
            </w:r>
          </w:p>
        </w:tc>
        <w:tc>
          <w:tcPr>
            <w:tcW w:type="dxa" w:w="2100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none</w:t>
            </w:r>
          </w:p>
        </w:tc>
      </w:tr>
      <w:tr>
        <w:trPr>
          <w:cantSplit/>
        </w:trPr>
        <w:tc>
          <w:tcPr>
            <w:tcW w:type="dxa" w:w="6926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OpenStreetMap re-import and external-layers tables (database team)</w:t>
            </w: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 — run from the runbook</w:t>
            </w:r>
          </w:p>
        </w:tc>
        <w:tc>
          <w:tcPr>
            <w:tcW w:type="dxa" w:w="2100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1 day</w:t>
            </w:r>
          </w:p>
        </w:tc>
      </w:tr>
      <w:tr>
        <w:trPr>
          <w:cantSplit/>
        </w:trPr>
        <w:tc>
          <w:tcPr>
            <w:tcW w:type="dxa" w:w="6926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Revoke old MinIO storage keys (infrastructure team)</w:t>
            </w: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 — urgent — the old keys stay valid until this is done</w:t>
            </w:r>
          </w:p>
        </w:tc>
        <w:tc>
          <w:tcPr>
            <w:tcW w:type="dxa" w:w="2100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333333"/>
                <w:sz w:val="19"/>
              </w:rPr>
              <w:t>none</w:t>
            </w:r>
          </w:p>
        </w:tc>
      </w:tr>
    </w:tbl>
    <w:p>
      <w:pPr>
        <w:spacing w:after="160" w:before="60"/>
        <w:jc w:val="right"/>
      </w:pPr>
      <w:r>
        <w:rPr>
          <w:b/>
          <w:color w:val="333333"/>
          <w:sz w:val="20"/>
        </w:rPr>
        <w:t>Subtotal once delivered: about 5–9 days</w:t>
      </w:r>
    </w:p>
    <w:p>
      <w:pPr>
        <w:pStyle w:val="berschrift2"/>
        <w:spacing w:after="80"/>
      </w:pPr>
      <w:r>
        <w:t>No development needed</w:t>
      </w:r>
    </w:p>
    <w:p>
      <w:pPr>
        <w:spacing w:after="40"/>
      </w:pPr>
      <w:r>
        <w:rPr>
          <w:b/>
          <w:color w:val="333333"/>
          <w:sz w:val="20"/>
        </w:rPr>
        <w:t xml:space="preserve">Field communication. </w:t>
      </w:r>
      <w:r>
        <w:rPr>
          <w:b w:val="0"/>
          <w:color w:val="333333"/>
          <w:sz w:val="20"/>
        </w:rPr>
        <w:t>Officers who work offline should download their areas again after updating to v25; earlier updates removed their stored map tiles.</w:t>
      </w:r>
    </w:p>
    <w:p>
      <w:pPr>
        <w:spacing w:after="40"/>
      </w:pPr>
      <w:r>
        <w:rPr>
          <w:b/>
          <w:color w:val="333333"/>
          <w:sz w:val="20"/>
        </w:rPr>
        <w:t xml:space="preserve">Schema findings. </w:t>
      </w:r>
      <w:r>
        <w:rPr>
          <w:b w:val="0"/>
          <w:color w:val="333333"/>
          <w:sz w:val="20"/>
        </w:rPr>
        <w:t>Four points for the database team, listed in section 3 of the schema summary.</w:t>
      </w:r>
    </w:p>
    <w:p>
      <w:pPr>
        <w:pStyle w:val="berschrift2"/>
        <w:pageBreakBefore/>
        <w:spacing w:after="80" w:before="0"/>
      </w:pPr>
      <w:r>
        <w:t>Not yet built from the Functional Specifications</w:t>
      </w:r>
    </w:p>
    <w:p>
      <w:pPr>
        <w:spacing w:after="80"/>
      </w:pPr>
      <w:r>
        <w:rPr>
          <w:b w:val="0"/>
          <w:color w:val="6B7280"/>
          <w:sz w:val="19"/>
        </w:rPr>
        <w:t>Checked against LUPMIS2 Functional Specifications v4 (July 2025); section numbers refer to that document. Order-of-magnitude figures for scoping, not plans. Items marked “LUSPA input” cannot be estimated firmly until LUSPA supplies what the TWG notes in the specification ask for.</w:t>
      </w:r>
    </w:p>
    <w:tbl>
      <w:tblPr>
        <w:tblW w:type="auto" w:w="0"/>
        <w:tblLook w:firstColumn="1" w:firstRow="1" w:lastColumn="0" w:lastRow="0" w:noHBand="0" w:noVBand="1" w:val="04A0"/>
        <w:tblLayout w:type="fixed"/>
        <w:tblBorders>
          <w:top w:val="single" w:sz="4" w:space="0" w:color="D9D9E3"/>
          <w:left w:val="single" w:sz="4" w:space="0" w:color="D9D9E3"/>
          <w:bottom w:val="single" w:sz="4" w:space="0" w:color="D9D9E3"/>
          <w:right w:val="single" w:sz="4" w:space="0" w:color="D9D9E3"/>
          <w:insideH w:val="single" w:sz="4" w:space="0" w:color="D9D9E3"/>
          <w:insideV w:val="single" w:sz="4" w:space="0" w:color="D9D9E3"/>
        </w:tblBorders>
      </w:tblPr>
      <w:tblGrid>
        <w:gridCol w:w="6926"/>
        <w:gridCol w:w="2100"/>
      </w:tblGrid>
      <w:tr>
        <w:trPr>
          <w:cantSplit/>
          <w:tblHeader/>
        </w:trPr>
        <w:tc>
          <w:tcPr>
            <w:tcW w:type="dxa" w:w="6926"/>
            <w:shd w:val="clear" w:fill="1E1A4B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FFFFFF"/>
                <w:sz w:val="20"/>
              </w:rPr>
              <w:t>Map application gaps</w:t>
            </w:r>
          </w:p>
        </w:tc>
        <w:tc>
          <w:tcPr>
            <w:tcW w:type="dxa" w:w="2100"/>
            <w:shd w:val="clear" w:fill="1E1A4B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FFFFFF"/>
                <w:sz w:val="20"/>
              </w:rPr>
              <w:t>Estimate</w:t>
            </w:r>
          </w:p>
        </w:tc>
      </w:tr>
      <w:tr>
        <w:trPr>
          <w:cantSplit/>
        </w:trPr>
        <w:tc>
          <w:tcPr>
            <w:tcW w:type="dxa" w:w="6926"/>
            <w:shd w:val="clear" w:fill="FFFFFF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Map layouts and printing (§6)</w:t>
            </w:r>
            <w:r>
              <w:rPr>
                <w:rFonts w:ascii="Calibri" w:hAnsi="Calibri"/>
                <w:b w:val="0"/>
                <w:color w:val="333333"/>
                <w:sz w:val="18"/>
              </w:rPr>
              <w:t xml:space="preserve"> — legend, scale bar, north arrow and title on a print layout; large-format output; export to PNG, SVG and GeoTIFF</w:t>
            </w:r>
          </w:p>
        </w:tc>
        <w:tc>
          <w:tcPr>
            <w:tcW w:type="dxa" w:w="2100"/>
            <w:shd w:val="clear" w:fill="FFFFFF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6–10 days</w:t>
            </w:r>
          </w:p>
        </w:tc>
      </w:tr>
      <w:tr>
        <w:trPr>
          <w:cantSplit/>
        </w:trPr>
        <w:tc>
          <w:tcPr>
            <w:tcW w:type="dxa" w:w="6926"/>
            <w:shd w:val="clear" w:fill="F0F0F8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Template reports and batch printing (§6)</w:t>
            </w:r>
            <w:r>
              <w:rPr>
                <w:rFonts w:ascii="Calibri" w:hAnsi="Calibri"/>
                <w:b w:val="0"/>
                <w:color w:val="333333"/>
                <w:sz w:val="18"/>
              </w:rPr>
              <w:t xml:space="preserve"> — land use reports, zoning summaries, planning comments — LUSPA input: report templates</w:t>
            </w:r>
          </w:p>
        </w:tc>
        <w:tc>
          <w:tcPr>
            <w:tcW w:type="dxa" w:w="2100"/>
            <w:shd w:val="clear" w:fill="F0F0F8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5–8 days</w:t>
            </w:r>
          </w:p>
        </w:tc>
      </w:tr>
      <w:tr>
        <w:trPr>
          <w:cantSplit/>
        </w:trPr>
        <w:tc>
          <w:tcPr>
            <w:tcW w:type="dxa" w:w="6926"/>
            <w:shd w:val="clear" w:fill="FFFFFF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Thematic mapping (§2)</w:t>
            </w:r>
            <w:r>
              <w:rPr>
                <w:rFonts w:ascii="Calibri" w:hAnsi="Calibri"/>
                <w:b w:val="0"/>
                <w:color w:val="333333"/>
                <w:sz w:val="18"/>
              </w:rPr>
              <w:t xml:space="preserve"> — custom symbology for zoning, land use and infrastructure</w:t>
            </w:r>
          </w:p>
        </w:tc>
        <w:tc>
          <w:tcPr>
            <w:tcW w:type="dxa" w:w="2100"/>
            <w:shd w:val="clear" w:fill="FFFFFF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4–6 days</w:t>
            </w:r>
          </w:p>
        </w:tc>
      </w:tr>
      <w:tr>
        <w:trPr>
          <w:cantSplit/>
        </w:trPr>
        <w:tc>
          <w:tcPr>
            <w:tcW w:type="dxa" w:w="6926"/>
            <w:shd w:val="clear" w:fill="F0F0F8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Attribute table (§4)</w:t>
            </w:r>
            <w:r>
              <w:rPr>
                <w:rFonts w:ascii="Calibri" w:hAnsi="Calibri"/>
                <w:b w:val="0"/>
                <w:color w:val="333333"/>
                <w:sz w:val="18"/>
              </w:rPr>
              <w:t xml:space="preserve"> — view, edit, filter and join attribute data</w:t>
            </w:r>
          </w:p>
        </w:tc>
        <w:tc>
          <w:tcPr>
            <w:tcW w:type="dxa" w:w="2100"/>
            <w:shd w:val="clear" w:fill="F0F0F8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5–8 days</w:t>
            </w:r>
          </w:p>
        </w:tc>
      </w:tr>
      <w:tr>
        <w:trPr>
          <w:cantSplit/>
        </w:trPr>
        <w:tc>
          <w:tcPr>
            <w:tcW w:type="dxa" w:w="6926"/>
            <w:shd w:val="clear" w:fill="FFFFFF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Statistics and pivot tables (§2, §4)</w:t>
            </w:r>
            <w:r>
              <w:rPr>
                <w:rFonts w:ascii="Calibri" w:hAnsi="Calibri"/>
                <w:b w:val="0"/>
                <w:color w:val="333333"/>
                <w:sz w:val="18"/>
              </w:rPr>
              <w:t xml:space="preserve"> — median, mode, variance, standard deviation; field summaries and pivots — LUSPA input</w:t>
            </w:r>
          </w:p>
        </w:tc>
        <w:tc>
          <w:tcPr>
            <w:tcW w:type="dxa" w:w="2100"/>
            <w:shd w:val="clear" w:fill="FFFFFF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4–7 days</w:t>
            </w:r>
          </w:p>
        </w:tc>
      </w:tr>
      <w:tr>
        <w:trPr>
          <w:cantSplit/>
        </w:trPr>
        <w:tc>
          <w:tcPr>
            <w:tcW w:type="dxa" w:w="6926"/>
            <w:shd w:val="clear" w:fill="F0F0F8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GeoPackage and DXF (§4)</w:t>
            </w:r>
            <w:r>
              <w:rPr>
                <w:rFonts w:ascii="Calibri" w:hAnsi="Calibri"/>
                <w:b w:val="0"/>
                <w:color w:val="333333"/>
                <w:sz w:val="18"/>
              </w:rPr>
              <w:t xml:space="preserve"> — import and export</w:t>
            </w:r>
          </w:p>
        </w:tc>
        <w:tc>
          <w:tcPr>
            <w:tcW w:type="dxa" w:w="2100"/>
            <w:shd w:val="clear" w:fill="F0F0F8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5–8 days</w:t>
            </w:r>
          </w:p>
        </w:tc>
      </w:tr>
      <w:tr>
        <w:trPr>
          <w:cantSplit/>
        </w:trPr>
        <w:tc>
          <w:tcPr>
            <w:tcW w:type="dxa" w:w="6926"/>
            <w:shd w:val="clear" w:fill="FFFFFF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Topology management (§4)</w:t>
            </w:r>
            <w:r>
              <w:rPr>
                <w:rFonts w:ascii="Calibri" w:hAnsi="Calibri"/>
                <w:b w:val="0"/>
                <w:color w:val="333333"/>
                <w:sz w:val="18"/>
              </w:rPr>
              <w:t xml:space="preserve"> — detect and prevent parcel overlaps, gaps and slivers</w:t>
            </w:r>
          </w:p>
        </w:tc>
        <w:tc>
          <w:tcPr>
            <w:tcW w:type="dxa" w:w="2100"/>
            <w:shd w:val="clear" w:fill="FFFFFF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4–6 days</w:t>
            </w:r>
          </w:p>
        </w:tc>
      </w:tr>
      <w:tr>
        <w:trPr>
          <w:cantSplit/>
        </w:trPr>
        <w:tc>
          <w:tcPr>
            <w:tcW w:type="dxa" w:w="6926"/>
            <w:shd w:val="clear" w:fill="F0F0F8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Georeferencing (§4)</w:t>
            </w:r>
            <w:r>
              <w:rPr>
                <w:rFonts w:ascii="Calibri" w:hAnsi="Calibri"/>
                <w:b w:val="0"/>
                <w:color w:val="333333"/>
                <w:sz w:val="18"/>
              </w:rPr>
              <w:t xml:space="preserve"> — place scanned plans on the map by control points</w:t>
            </w:r>
          </w:p>
        </w:tc>
        <w:tc>
          <w:tcPr>
            <w:tcW w:type="dxa" w:w="2100"/>
            <w:shd w:val="clear" w:fill="F0F0F8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8–12 days</w:t>
            </w:r>
          </w:p>
        </w:tc>
      </w:tr>
      <w:tr>
        <w:trPr>
          <w:cantSplit/>
        </w:trPr>
        <w:tc>
          <w:tcPr>
            <w:tcW w:type="dxa" w:w="6926"/>
            <w:shd w:val="clear" w:fill="FFFFFF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Photos in field data collection (§7)</w:t>
            </w:r>
            <w:r>
              <w:rPr>
                <w:rFonts w:ascii="Calibri" w:hAnsi="Calibri"/>
                <w:b w:val="0"/>
                <w:color w:val="333333"/>
                <w:sz w:val="18"/>
              </w:rPr>
              <w:t xml:space="preserve"> — attach photos to locations and features</w:t>
            </w:r>
          </w:p>
        </w:tc>
        <w:tc>
          <w:tcPr>
            <w:tcW w:type="dxa" w:w="2100"/>
            <w:shd w:val="clear" w:fill="FFFFFF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3–5 days</w:t>
            </w:r>
          </w:p>
        </w:tc>
      </w:tr>
      <w:tr>
        <w:trPr>
          <w:cantSplit/>
        </w:trPr>
        <w:tc>
          <w:tcPr>
            <w:tcW w:type="dxa" w:w="6926"/>
            <w:shd w:val="clear" w:fill="F0F0F8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Site plan during inspection (§1)</w:t>
            </w:r>
            <w:r>
              <w:rPr>
                <w:rFonts w:ascii="Calibri" w:hAnsi="Calibri"/>
                <w:b w:val="0"/>
                <w:color w:val="333333"/>
                <w:sz w:val="18"/>
              </w:rPr>
              <w:t xml:space="preserve"> — show the submitted site plan over the local plan in the field</w:t>
            </w:r>
          </w:p>
        </w:tc>
        <w:tc>
          <w:tcPr>
            <w:tcW w:type="dxa" w:w="2100"/>
            <w:shd w:val="clear" w:fill="F0F0F8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3–5 days</w:t>
            </w:r>
          </w:p>
        </w:tc>
      </w:tr>
      <w:tr>
        <w:trPr>
          <w:cantSplit/>
        </w:trPr>
        <w:tc>
          <w:tcPr>
            <w:tcW w:type="dxa" w:w="6926"/>
            <w:shd w:val="clear" w:fill="FFFFFF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Local and structure plan amendment (§2)</w:t>
            </w:r>
            <w:r>
              <w:rPr>
                <w:rFonts w:ascii="Calibri" w:hAnsi="Calibri"/>
                <w:b w:val="0"/>
                <w:color w:val="333333"/>
                <w:sz w:val="18"/>
              </w:rPr>
              <w:t xml:space="preserve"> — save drawn changes to plan layers as proposals for review</w:t>
            </w:r>
          </w:p>
        </w:tc>
        <w:tc>
          <w:tcPr>
            <w:tcW w:type="dxa" w:w="2100"/>
            <w:shd w:val="clear" w:fill="FFFFFF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5–8 days</w:t>
            </w:r>
          </w:p>
        </w:tc>
      </w:tr>
      <w:tr>
        <w:trPr>
          <w:cantSplit/>
        </w:trPr>
        <w:tc>
          <w:tcPr>
            <w:tcW w:type="dxa" w:w="6926"/>
            <w:shd w:val="clear" w:fill="F0F0F8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Role-based access control (§8)</w:t>
            </w:r>
            <w:r>
              <w:rPr>
                <w:rFonts w:ascii="Calibri" w:hAnsi="Calibri"/>
                <w:b w:val="0"/>
                <w:color w:val="333333"/>
                <w:sz w:val="18"/>
              </w:rPr>
              <w:t xml:space="preserve"> — permissions per role in the app and API</w:t>
            </w:r>
          </w:p>
        </w:tc>
        <w:tc>
          <w:tcPr>
            <w:tcW w:type="dxa" w:w="2100"/>
            <w:shd w:val="clear" w:fill="F0F0F8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5–8 days</w:t>
            </w:r>
          </w:p>
        </w:tc>
      </w:tr>
      <w:tr>
        <w:trPr>
          <w:cantSplit/>
        </w:trPr>
        <w:tc>
          <w:tcPr>
            <w:tcW w:type="dxa" w:w="6926"/>
            <w:shd w:val="clear" w:fill="FFFFFF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Server audit trail (§8)</w:t>
            </w:r>
            <w:r>
              <w:rPr>
                <w:rFonts w:ascii="Calibri" w:hAnsi="Calibri"/>
                <w:b w:val="0"/>
                <w:color w:val="333333"/>
                <w:sz w:val="18"/>
              </w:rPr>
              <w:t xml:space="preserve"> — who changed which data, and when — with the database team</w:t>
            </w:r>
          </w:p>
        </w:tc>
        <w:tc>
          <w:tcPr>
            <w:tcW w:type="dxa" w:w="2100"/>
            <w:shd w:val="clear" w:fill="FFFFFF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3–5 days</w:t>
            </w:r>
          </w:p>
        </w:tc>
      </w:tr>
      <w:tr>
        <w:trPr>
          <w:cantSplit/>
        </w:trPr>
        <w:tc>
          <w:tcPr>
            <w:tcW w:type="dxa" w:w="6926"/>
            <w:shd w:val="clear" w:fill="F0F0F8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Publish LUPMIS data as WMS/WFS (§5)</w:t>
            </w:r>
            <w:r>
              <w:rPr>
                <w:rFonts w:ascii="Calibri" w:hAnsi="Calibri"/>
                <w:b w:val="0"/>
                <w:color w:val="333333"/>
                <w:sz w:val="18"/>
              </w:rPr>
              <w:t xml:space="preserve"> — with the infrastructure team</w:t>
            </w:r>
          </w:p>
        </w:tc>
        <w:tc>
          <w:tcPr>
            <w:tcW w:type="dxa" w:w="2100"/>
            <w:shd w:val="clear" w:fill="F0F0F8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3–5 days</w:t>
            </w:r>
          </w:p>
        </w:tc>
      </w:tr>
      <w:tr>
        <w:trPr>
          <w:cantSplit/>
        </w:trPr>
        <w:tc>
          <w:tcPr>
            <w:tcW w:type="dxa" w:w="6926"/>
            <w:shd w:val="clear" w:fill="FFFFFF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Metadata management (§5)</w:t>
            </w:r>
            <w:r>
              <w:rPr>
                <w:rFonts w:ascii="Calibri" w:hAnsi="Calibri"/>
                <w:b w:val="0"/>
                <w:color w:val="333333"/>
                <w:sz w:val="18"/>
              </w:rPr>
              <w:t xml:space="preserve"> — source, date and accuracy recorded per dataset</w:t>
            </w:r>
          </w:p>
        </w:tc>
        <w:tc>
          <w:tcPr>
            <w:tcW w:type="dxa" w:w="2100"/>
            <w:shd w:val="clear" w:fill="FFFFFF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3–5 days</w:t>
            </w:r>
          </w:p>
        </w:tc>
      </w:tr>
      <w:tr>
        <w:trPr>
          <w:cantSplit/>
        </w:trPr>
        <w:tc>
          <w:tcPr>
            <w:tcW w:type="dxa" w:w="6926"/>
            <w:shd w:val="clear" w:fill="F0F0F8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Cross-browser test pass (§7)</w:t>
            </w:r>
            <w:r>
              <w:rPr>
                <w:rFonts w:ascii="Calibri" w:hAnsi="Calibri"/>
                <w:b w:val="0"/>
                <w:color w:val="333333"/>
                <w:sz w:val="18"/>
              </w:rPr>
              <w:t xml:space="preserve"> — Chrome, Edge, Firefox, Safari; fix findings</w:t>
            </w:r>
          </w:p>
        </w:tc>
        <w:tc>
          <w:tcPr>
            <w:tcW w:type="dxa" w:w="2100"/>
            <w:shd w:val="clear" w:fill="F0F0F8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2–3 days</w:t>
            </w:r>
          </w:p>
        </w:tc>
      </w:tr>
    </w:tbl>
    <w:p>
      <w:pPr>
        <w:spacing w:after="160" w:before="60"/>
        <w:jc w:val="right"/>
      </w:pPr>
      <w:r>
        <w:rPr>
          <w:b/>
          <w:color w:val="333333"/>
          <w:sz w:val="20"/>
        </w:rPr>
        <w:t>Subtotal: about 70–110 days</w:t>
      </w:r>
    </w:p>
    <w:tbl>
      <w:tblPr>
        <w:tblW w:type="auto" w:w="0"/>
        <w:tblLook w:firstColumn="1" w:firstRow="1" w:lastColumn="0" w:lastRow="0" w:noHBand="0" w:noVBand="1" w:val="04A0"/>
        <w:tblLayout w:type="fixed"/>
        <w:tblBorders>
          <w:top w:val="single" w:sz="4" w:space="0" w:color="D9D9E3"/>
          <w:left w:val="single" w:sz="4" w:space="0" w:color="D9D9E3"/>
          <w:bottom w:val="single" w:sz="4" w:space="0" w:color="D9D9E3"/>
          <w:right w:val="single" w:sz="4" w:space="0" w:color="D9D9E3"/>
          <w:insideH w:val="single" w:sz="4" w:space="0" w:color="D9D9E3"/>
          <w:insideV w:val="single" w:sz="4" w:space="0" w:color="D9D9E3"/>
        </w:tblBorders>
      </w:tblPr>
      <w:tblGrid>
        <w:gridCol w:w="6926"/>
        <w:gridCol w:w="2100"/>
      </w:tblGrid>
      <w:tr>
        <w:trPr>
          <w:cantSplit/>
          <w:tblHeader/>
        </w:trPr>
        <w:tc>
          <w:tcPr>
            <w:tcW w:type="dxa" w:w="6926"/>
            <w:shd w:val="clear" w:fill="1E1A4B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FFFFFF"/>
                <w:sz w:val="20"/>
              </w:rPr>
              <w:t>Larger modules</w:t>
            </w:r>
          </w:p>
        </w:tc>
        <w:tc>
          <w:tcPr>
            <w:tcW w:type="dxa" w:w="2100"/>
            <w:shd w:val="clear" w:fill="1E1A4B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FFFFFF"/>
                <w:sz w:val="20"/>
              </w:rPr>
              <w:t>Estimate</w:t>
            </w:r>
          </w:p>
        </w:tc>
      </w:tr>
      <w:tr>
        <w:trPr>
          <w:cantSplit/>
        </w:trPr>
        <w:tc>
          <w:tcPr>
            <w:tcW w:type="dxa" w:w="6926"/>
            <w:shd w:val="clear" w:fill="FFFFFF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Raster handling, Stage 2 (§3)</w:t>
            </w:r>
            <w:r>
              <w:rPr>
                <w:rFonts w:ascii="Calibri" w:hAnsi="Calibri"/>
                <w:b w:val="0"/>
                <w:color w:val="333333"/>
                <w:sz w:val="18"/>
              </w:rPr>
              <w:t xml:space="preserve"> — GeoTIFF import/export; resample, reclassify, mosaic; slope, aspect, hillshade. JPEG2000 and ECW need server-side conversion</w:t>
            </w:r>
          </w:p>
        </w:tc>
        <w:tc>
          <w:tcPr>
            <w:tcW w:type="dxa" w:w="2100"/>
            <w:shd w:val="clear" w:fill="FFFFFF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15–25 days</w:t>
            </w:r>
          </w:p>
        </w:tc>
      </w:tr>
      <w:tr>
        <w:trPr>
          <w:cantSplit/>
        </w:trPr>
        <w:tc>
          <w:tcPr>
            <w:tcW w:type="dxa" w:w="6926"/>
            <w:shd w:val="clear" w:fill="F0F0F8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Street naming, property addressing, UPN assignment (§10)</w:t>
            </w:r>
            <w:r>
              <w:rPr>
                <w:rFonts w:ascii="Calibri" w:hAnsi="Calibri"/>
                <w:b w:val="0"/>
                <w:color w:val="333333"/>
                <w:sz w:val="18"/>
              </w:rPr>
              <w:t xml:space="preserve"> — per Act 925 and LI 2384 — LUSPA input: the procedure</w:t>
            </w:r>
          </w:p>
        </w:tc>
        <w:tc>
          <w:tcPr>
            <w:tcW w:type="dxa" w:w="2100"/>
            <w:shd w:val="clear" w:fill="F0F0F8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15–25 days</w:t>
            </w:r>
          </w:p>
        </w:tc>
      </w:tr>
      <w:tr>
        <w:trPr>
          <w:cantSplit/>
        </w:trPr>
        <w:tc>
          <w:tcPr>
            <w:tcW w:type="dxa" w:w="6926"/>
            <w:shd w:val="clear" w:fill="FFFFFF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Automated zoning compliance (§1)</w:t>
            </w:r>
            <w:r>
              <w:rPr>
                <w:rFonts w:ascii="Calibri" w:hAnsi="Calibri"/>
                <w:b w:val="0"/>
                <w:color w:val="333333"/>
                <w:sz w:val="18"/>
              </w:rPr>
              <w:t xml:space="preserve"> — check a site plan against setbacks, floor area ratio, heights — needs the zoning table</w:t>
            </w:r>
          </w:p>
        </w:tc>
        <w:tc>
          <w:tcPr>
            <w:tcW w:type="dxa" w:w="2100"/>
            <w:shd w:val="clear" w:fill="FFFFFF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8–12 days</w:t>
            </w:r>
          </w:p>
        </w:tc>
      </w:tr>
      <w:tr>
        <w:trPr>
          <w:cantSplit/>
        </w:trPr>
        <w:tc>
          <w:tcPr>
            <w:tcW w:type="dxa" w:w="6926"/>
            <w:shd w:val="clear" w:fill="F0F0F8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3D visualisation (§2)</w:t>
            </w:r>
            <w:r>
              <w:rPr>
                <w:rFonts w:ascii="Calibri" w:hAnsi="Calibri"/>
                <w:b w:val="0"/>
                <w:color w:val="333333"/>
                <w:sz w:val="18"/>
              </w:rPr>
              <w:t xml:space="preserve"> — terrain and building models</w:t>
            </w:r>
          </w:p>
        </w:tc>
        <w:tc>
          <w:tcPr>
            <w:tcW w:type="dxa" w:w="2100"/>
            <w:shd w:val="clear" w:fill="F0F0F8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10–15 days</w:t>
            </w:r>
          </w:p>
        </w:tc>
      </w:tr>
      <w:tr>
        <w:trPr>
          <w:cantSplit/>
        </w:trPr>
        <w:tc>
          <w:tcPr>
            <w:tcW w:type="dxa" w:w="6926"/>
            <w:shd w:val="clear" w:fill="FFFFFF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Automated local plans (§1, §4)</w:t>
            </w:r>
            <w:r>
              <w:rPr>
                <w:rFonts w:ascii="Calibri" w:hAnsi="Calibri"/>
                <w:b w:val="0"/>
                <w:color w:val="333333"/>
                <w:sz w:val="18"/>
              </w:rPr>
              <w:t xml:space="preserve"> — parcel layout from land use shares — TWG: future consideration</w:t>
            </w:r>
          </w:p>
        </w:tc>
        <w:tc>
          <w:tcPr>
            <w:tcW w:type="dxa" w:w="2100"/>
            <w:shd w:val="clear" w:fill="FFFFFF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10–20 days</w:t>
            </w:r>
          </w:p>
        </w:tc>
      </w:tr>
      <w:tr>
        <w:trPr>
          <w:cantSplit/>
        </w:trPr>
        <w:tc>
          <w:tcPr>
            <w:tcW w:type="dxa" w:w="6926"/>
            <w:shd w:val="clear" w:fill="F0F0F8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Global datasets and AI (§2)</w:t>
            </w:r>
            <w:r>
              <w:rPr>
                <w:rFonts w:ascii="Calibri" w:hAnsi="Calibri"/>
                <w:b w:val="0"/>
                <w:color w:val="333333"/>
                <w:sz w:val="18"/>
              </w:rPr>
              <w:t xml:space="preserve"> — ERA5, WorldPop, Google Earth Engine — LUSPA input: the definite list</w:t>
            </w:r>
          </w:p>
        </w:tc>
        <w:tc>
          <w:tcPr>
            <w:tcW w:type="dxa" w:w="2100"/>
            <w:shd w:val="clear" w:fill="F0F0F8"/>
          </w:tcPr>
          <w:p>
            <w:pPr>
              <w:spacing w:before="10" w:after="10"/>
            </w:pPr>
            <w:r>
              <w:rPr>
                <w:rFonts w:ascii="Calibri" w:hAnsi="Calibri"/>
                <w:b/>
                <w:color w:val="333333"/>
                <w:sz w:val="18"/>
              </w:rPr>
              <w:t>after the list</w:t>
            </w:r>
          </w:p>
        </w:tc>
      </w:tr>
    </w:tbl>
    <w:p>
      <w:pPr>
        <w:spacing w:after="160" w:before="60"/>
        <w:jc w:val="right"/>
      </w:pPr>
      <w:r>
        <w:rPr>
          <w:b/>
          <w:color w:val="333333"/>
          <w:sz w:val="20"/>
        </w:rPr>
        <w:t>Subtotal: about 60–100 days, plus global datasets</w:t>
      </w:r>
    </w:p>
    <w:p>
      <w:pPr>
        <w:pStyle w:val="berschrift2"/>
        <w:spacing w:after="80"/>
      </w:pPr>
      <w:r>
        <w:t>Permitting system (outside the map application)</w:t>
      </w:r>
    </w:p>
    <w:p>
      <w:pPr>
        <w:spacing w:after="40"/>
      </w:pPr>
      <w:r>
        <w:rPr>
          <w:b w:val="0"/>
          <w:color w:val="333333"/>
          <w:sz w:val="18"/>
        </w:rPr>
        <w:t>To be estimated with whoever builds the permitting system: mobile-friendly permit forms (§7); status notifications by email and SMS (§1); fee calculation and payment through Ghana.Gov and GhIPSS, including sale of data under L.I. 2481 (§1); building code validation and evidence validation through other agencies’ APIs (§1); stakeholder and public engagement (§1); and the district procedures in §10 — change of use, rezoning, subdivision, enforcement notices, certificates, and forms 55, 36 and 40.</w:t>
      </w:r>
    </w:p>
    <w:p>
      <w:pPr>
        <w:pStyle w:val="berschrift2"/>
        <w:spacing w:after="80"/>
      </w:pPr>
      <w:r>
        <w:t>Infrastructure, no application development</w:t>
      </w:r>
    </w:p>
    <w:p>
      <w:pPr>
        <w:spacing w:after="0"/>
      </w:pPr>
      <w:r>
        <w:rPr>
          <w:b w:val="0"/>
          <w:color w:val="333333"/>
          <w:sz w:val="18"/>
        </w:rPr>
        <w:t>On-premise deployment and automated backups with tested recovery (§8); access for other departments (§8); and Python or Jupyter access for analysts (§5), which needs a read-only database account rather than application work.</w:t>
      </w:r>
    </w:p>
    <w:sectPr w:rsidR="0032655B">
      <w:headerReference w:type="default" r:id="rId13"/>
      <w:footerReference w:type="default" r:id="rId14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F189B0" w14:textId="77777777" w:rsidR="00AE2CBB" w:rsidRDefault="00AE2CBB">
      <w:r>
        <w:separator/>
      </w:r>
    </w:p>
  </w:endnote>
  <w:endnote w:type="continuationSeparator" w:id="0">
    <w:p w14:paraId="2F99AFCD" w14:textId="77777777" w:rsidR="00AE2CBB" w:rsidRDefault="00AE2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ans">
    <w:panose1 w:val="020B0503050000000000"/>
    <w:charset w:val="4D"/>
    <w:family w:val="swiss"/>
    <w:notTrueType/>
    <w:pitch w:val="variable"/>
    <w:sig w:usb0="A000006F" w:usb1="5000207B" w:usb2="00000000" w:usb3="00000000" w:csb0="0000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7F55E0" w14:textId="77777777" w:rsidR="007225A5" w:rsidRDefault="00FF00D1">
    <w:pPr>
      <w:pBdr>
        <w:top w:val="single" w:sz="1" w:space="4" w:color="CCCCCC"/>
      </w:pBdr>
      <w:jc w:val="center"/>
    </w:pPr>
    <w:proofErr w:type="gramStart"/>
    <w:r>
      <w:rPr>
        <w:color w:val="999999"/>
        <w:sz w:val="16"/>
        <w:szCs w:val="16"/>
      </w:rPr>
      <w:t>GOPA</w:t>
    </w:r>
    <w:r w:rsidR="002B6AA5">
      <w:rPr>
        <w:color w:val="999999"/>
        <w:sz w:val="16"/>
        <w:szCs w:val="16"/>
      </w:rPr>
      <w:t xml:space="preserve">  |</w:t>
    </w:r>
    <w:proofErr w:type="gramEnd"/>
    <w:r w:rsidR="002B6AA5">
      <w:rPr>
        <w:color w:val="999999"/>
        <w:sz w:val="16"/>
        <w:szCs w:val="16"/>
      </w:rPr>
      <w:t xml:space="preserve">  LUPMIS2 Open Issues </w:t>
    </w:r>
    <w:proofErr w:type="gramStart"/>
    <w:r w:rsidR="002B6AA5">
      <w:rPr>
        <w:color w:val="999999"/>
        <w:sz w:val="16"/>
        <w:szCs w:val="16"/>
      </w:rPr>
      <w:t xml:space="preserve"> |</w:t>
    </w:r>
    <w:proofErr w:type="gramEnd"/>
    <w:r w:rsidR="002B6AA5">
      <w:rPr>
        <w:color w:val="999999"/>
        <w:sz w:val="16"/>
        <w:szCs w:val="16"/>
      </w:rPr>
      <w:t xml:space="preserve">  Page </w:t>
    </w:r>
    <w:r w:rsidR="002B6AA5">
      <w:rPr>
        <w:color w:val="999999"/>
        <w:sz w:val="16"/>
        <w:szCs w:val="16"/>
      </w:rPr>
      <w:fldChar w:fldCharType="begin"/>
    </w:r>
    <w:r w:rsidR="002B6AA5">
      <w:rPr>
        <w:color w:val="999999"/>
        <w:sz w:val="16"/>
        <w:szCs w:val="16"/>
      </w:rPr>
      <w:instrText>PAGE</w:instrText>
    </w:r>
    <w:r w:rsidR="002B6AA5">
      <w:rPr>
        <w:color w:val="999999"/>
        <w:sz w:val="16"/>
        <w:szCs w:val="16"/>
      </w:rPr>
      <w:fldChar w:fldCharType="separate"/>
    </w:r>
    <w:r w:rsidR="00E124F3">
      <w:rPr>
        <w:noProof/>
        <w:color w:val="999999"/>
        <w:sz w:val="16"/>
        <w:szCs w:val="16"/>
      </w:rPr>
      <w:t>2</w:t>
    </w:r>
    <w:r w:rsidR="002B6AA5">
      <w:rPr>
        <w:color w:val="999999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858AA1" w14:textId="77777777" w:rsidR="00AE2CBB" w:rsidRDefault="00AE2CBB">
      <w:r>
        <w:separator/>
      </w:r>
    </w:p>
  </w:footnote>
  <w:footnote w:type="continuationSeparator" w:id="0">
    <w:p w14:paraId="2D2B7F7F" w14:textId="77777777" w:rsidR="00AE2CBB" w:rsidRDefault="00AE2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9BCA0B" w14:textId="77777777" w:rsidR="00FF00D1" w:rsidRDefault="00FF00D1" w:rsidP="00FF00D1">
    <w:pPr>
      <w:pStyle w:val="Kopfzeile"/>
    </w:pPr>
    <w:r>
      <w:rPr>
        <w:rFonts w:ascii="IBM Plex Sans" w:hAnsi="IBM Plex Sans"/>
        <w:noProof/>
      </w:rPr>
      <w:drawing>
        <wp:anchor distT="0" distB="0" distL="114300" distR="114300" simplePos="0" relativeHeight="251659264" behindDoc="0" locked="0" layoutInCell="1" allowOverlap="1" wp14:anchorId="50EF76EE" wp14:editId="0DB2641A">
          <wp:simplePos x="0" y="0"/>
          <wp:positionH relativeFrom="column">
            <wp:posOffset>-82955</wp:posOffset>
          </wp:positionH>
          <wp:positionV relativeFrom="paragraph">
            <wp:posOffset>182534</wp:posOffset>
          </wp:positionV>
          <wp:extent cx="1247775" cy="554355"/>
          <wp:effectExtent l="0" t="0" r="0" b="4445"/>
          <wp:wrapNone/>
          <wp:docPr id="192104447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1044471" name="Grafik 19210444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7775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7087" w:type="dxa"/>
      <w:tblInd w:w="1977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4111"/>
      <w:gridCol w:w="2976"/>
    </w:tblGrid>
    <w:tr w:rsidR="00FF00D1" w14:paraId="2A20D306" w14:textId="77777777" w:rsidTr="009A2347">
      <w:tc>
        <w:tcPr>
          <w:tcW w:w="4111" w:type="dxa"/>
        </w:tcPr>
        <w:p w14:paraId="69A2E7D4" w14:textId="77777777" w:rsidR="00FF00D1" w:rsidRDefault="00FF00D1" w:rsidP="00FF00D1">
          <w:r>
            <w:fldChar w:fldCharType="begin"/>
          </w:r>
          <w:r>
            <w:instrText xml:space="preserve"> SUBJECT  \* MERGEFORMAT </w:instrText>
          </w:r>
          <w:r>
            <w:fldChar w:fldCharType="end"/>
          </w:r>
        </w:p>
      </w:tc>
      <w:tc>
        <w:tcPr>
          <w:tcW w:w="2976" w:type="dxa"/>
        </w:tcPr>
        <w:p w14:paraId="29A49625" w14:textId="77777777" w:rsidR="00FF00D1" w:rsidRDefault="00FF00D1" w:rsidP="00FF00D1">
          <w:pPr>
            <w:tabs>
              <w:tab w:val="left" w:pos="1135"/>
            </w:tabs>
            <w:spacing w:before="40"/>
            <w:ind w:right="68"/>
          </w:pPr>
          <w:r>
            <w:t xml:space="preserve">  Version:           &lt;1.0&gt;</w:t>
          </w:r>
        </w:p>
      </w:tc>
    </w:tr>
    <w:tr w:rsidR="00FF00D1" w14:paraId="6F494568" w14:textId="77777777" w:rsidTr="009A2347">
      <w:tc>
        <w:tcPr>
          <w:tcW w:w="4111" w:type="dxa"/>
        </w:tcPr>
        <w:p w14:paraId="484C4EE4" w14:textId="77777777" w:rsidR="00FF00D1" w:rsidRPr="00FF00D1" w:rsidRDefault="00FF00D1" w:rsidP="00FF00D1">
          <w:pPr>
            <w:rPr>
              <w:sz w:val="20"/>
              <w:szCs w:val="20"/>
            </w:rPr>
          </w:pPr>
          <w:r w:rsidRPr="00FF00D1">
            <w:rPr>
              <w:i/>
              <w:iCs/>
              <w:color w:val="999999"/>
              <w:sz w:val="20"/>
              <w:szCs w:val="20"/>
            </w:rPr>
            <w:t>LUPMIS2 Open Issues and Estimates</w:t>
          </w:r>
        </w:p>
        <w:p w14:paraId="327B6622" w14:textId="77777777" w:rsidR="00FF00D1" w:rsidRDefault="00FF00D1" w:rsidP="00FF00D1"/>
      </w:tc>
      <w:tc>
        <w:tcPr>
          <w:tcW w:w="2976" w:type="dxa"/>
        </w:tcPr>
        <w:p w14:paraId="4309F002" w14:textId="77777777" w:rsidR="00FF00D1" w:rsidRDefault="00FF00D1" w:rsidP="00FF00D1"/>
      </w:tc>
    </w:tr>
  </w:tbl>
  <w:p w14:paraId="68F887F6" w14:textId="77777777" w:rsidR="007225A5" w:rsidRDefault="007225A5" w:rsidP="00FF00D1">
    <w:pPr>
      <w:jc w:val="right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D14E62"/>
    <w:multiLevelType w:val="hybridMultilevel"/>
    <w:tmpl w:val="75CE0176"/>
    <w:lvl w:ilvl="0" w:tplc="8F1A652A">
      <w:start w:val="1"/>
      <w:numFmt w:val="bullet"/>
      <w:lvlText w:val="•"/>
      <w:lvlJc w:val="left"/>
      <w:pPr>
        <w:ind w:left="720" w:hanging="360"/>
      </w:pPr>
    </w:lvl>
    <w:lvl w:ilvl="1" w:tplc="8B8ACFE2">
      <w:numFmt w:val="decimal"/>
      <w:lvlText w:val=""/>
      <w:lvlJc w:val="left"/>
    </w:lvl>
    <w:lvl w:ilvl="2" w:tplc="D1D6877E">
      <w:numFmt w:val="decimal"/>
      <w:lvlText w:val=""/>
      <w:lvlJc w:val="left"/>
    </w:lvl>
    <w:lvl w:ilvl="3" w:tplc="5044C660">
      <w:numFmt w:val="decimal"/>
      <w:lvlText w:val=""/>
      <w:lvlJc w:val="left"/>
    </w:lvl>
    <w:lvl w:ilvl="4" w:tplc="E058533C">
      <w:numFmt w:val="decimal"/>
      <w:lvlText w:val=""/>
      <w:lvlJc w:val="left"/>
    </w:lvl>
    <w:lvl w:ilvl="5" w:tplc="A014B8E6">
      <w:numFmt w:val="decimal"/>
      <w:lvlText w:val=""/>
      <w:lvlJc w:val="left"/>
    </w:lvl>
    <w:lvl w:ilvl="6" w:tplc="F3C2F5A8">
      <w:numFmt w:val="decimal"/>
      <w:lvlText w:val=""/>
      <w:lvlJc w:val="left"/>
    </w:lvl>
    <w:lvl w:ilvl="7" w:tplc="CCCEA62E">
      <w:numFmt w:val="decimal"/>
      <w:lvlText w:val=""/>
      <w:lvlJc w:val="left"/>
    </w:lvl>
    <w:lvl w:ilvl="8" w:tplc="CFA44C4E">
      <w:numFmt w:val="decimal"/>
      <w:lvlText w:val=""/>
      <w:lvlJc w:val="left"/>
    </w:lvl>
  </w:abstractNum>
  <w:abstractNum w:abstractNumId="1" w15:restartNumberingAfterBreak="0">
    <w:nsid w:val="2E622A17"/>
    <w:multiLevelType w:val="hybridMultilevel"/>
    <w:tmpl w:val="CFB85480"/>
    <w:lvl w:ilvl="0" w:tplc="101E9D50">
      <w:start w:val="1"/>
      <w:numFmt w:val="bullet"/>
      <w:lvlText w:val="•"/>
      <w:lvlJc w:val="left"/>
      <w:pPr>
        <w:ind w:left="720" w:hanging="360"/>
      </w:pPr>
    </w:lvl>
    <w:lvl w:ilvl="1" w:tplc="A43AEC48">
      <w:numFmt w:val="decimal"/>
      <w:lvlText w:val=""/>
      <w:lvlJc w:val="left"/>
    </w:lvl>
    <w:lvl w:ilvl="2" w:tplc="040C8C88">
      <w:numFmt w:val="decimal"/>
      <w:lvlText w:val=""/>
      <w:lvlJc w:val="left"/>
    </w:lvl>
    <w:lvl w:ilvl="3" w:tplc="B270097C">
      <w:numFmt w:val="decimal"/>
      <w:lvlText w:val=""/>
      <w:lvlJc w:val="left"/>
    </w:lvl>
    <w:lvl w:ilvl="4" w:tplc="241CC0E8">
      <w:numFmt w:val="decimal"/>
      <w:lvlText w:val=""/>
      <w:lvlJc w:val="left"/>
    </w:lvl>
    <w:lvl w:ilvl="5" w:tplc="39061F8A">
      <w:numFmt w:val="decimal"/>
      <w:lvlText w:val=""/>
      <w:lvlJc w:val="left"/>
    </w:lvl>
    <w:lvl w:ilvl="6" w:tplc="5E568876">
      <w:numFmt w:val="decimal"/>
      <w:lvlText w:val=""/>
      <w:lvlJc w:val="left"/>
    </w:lvl>
    <w:lvl w:ilvl="7" w:tplc="C1CE8022">
      <w:numFmt w:val="decimal"/>
      <w:lvlText w:val=""/>
      <w:lvlJc w:val="left"/>
    </w:lvl>
    <w:lvl w:ilvl="8" w:tplc="358A7FE4">
      <w:numFmt w:val="decimal"/>
      <w:lvlText w:val=""/>
      <w:lvlJc w:val="left"/>
    </w:lvl>
  </w:abstractNum>
  <w:abstractNum w:abstractNumId="2" w15:restartNumberingAfterBreak="0">
    <w:nsid w:val="453F4DBC"/>
    <w:multiLevelType w:val="hybridMultilevel"/>
    <w:tmpl w:val="C7ACC4D4"/>
    <w:lvl w:ilvl="0" w:tplc="A26A4618">
      <w:start w:val="1"/>
      <w:numFmt w:val="bullet"/>
      <w:lvlText w:val="•"/>
      <w:lvlJc w:val="left"/>
      <w:pPr>
        <w:ind w:left="720" w:hanging="360"/>
      </w:pPr>
    </w:lvl>
    <w:lvl w:ilvl="1" w:tplc="6C741206">
      <w:numFmt w:val="decimal"/>
      <w:lvlText w:val=""/>
      <w:lvlJc w:val="left"/>
    </w:lvl>
    <w:lvl w:ilvl="2" w:tplc="DC5416AC">
      <w:numFmt w:val="decimal"/>
      <w:lvlText w:val=""/>
      <w:lvlJc w:val="left"/>
    </w:lvl>
    <w:lvl w:ilvl="3" w:tplc="2F3EDA46">
      <w:numFmt w:val="decimal"/>
      <w:lvlText w:val=""/>
      <w:lvlJc w:val="left"/>
    </w:lvl>
    <w:lvl w:ilvl="4" w:tplc="373E9FFC">
      <w:numFmt w:val="decimal"/>
      <w:lvlText w:val=""/>
      <w:lvlJc w:val="left"/>
    </w:lvl>
    <w:lvl w:ilvl="5" w:tplc="382C506C">
      <w:numFmt w:val="decimal"/>
      <w:lvlText w:val=""/>
      <w:lvlJc w:val="left"/>
    </w:lvl>
    <w:lvl w:ilvl="6" w:tplc="C7B0219C">
      <w:numFmt w:val="decimal"/>
      <w:lvlText w:val=""/>
      <w:lvlJc w:val="left"/>
    </w:lvl>
    <w:lvl w:ilvl="7" w:tplc="AC384D0A">
      <w:numFmt w:val="decimal"/>
      <w:lvlText w:val=""/>
      <w:lvlJc w:val="left"/>
    </w:lvl>
    <w:lvl w:ilvl="8" w:tplc="CB24CAD4">
      <w:numFmt w:val="decimal"/>
      <w:lvlText w:val=""/>
      <w:lvlJc w:val="left"/>
    </w:lvl>
  </w:abstractNum>
  <w:abstractNum w:abstractNumId="3" w15:restartNumberingAfterBreak="0">
    <w:nsid w:val="64C77784"/>
    <w:multiLevelType w:val="hybridMultilevel"/>
    <w:tmpl w:val="BBC28EB8"/>
    <w:lvl w:ilvl="0" w:tplc="C2D60420">
      <w:start w:val="1"/>
      <w:numFmt w:val="bullet"/>
      <w:lvlText w:val="●"/>
      <w:lvlJc w:val="left"/>
      <w:pPr>
        <w:ind w:left="720" w:hanging="360"/>
      </w:pPr>
    </w:lvl>
    <w:lvl w:ilvl="1" w:tplc="95FEDDB8">
      <w:start w:val="1"/>
      <w:numFmt w:val="bullet"/>
      <w:lvlText w:val="○"/>
      <w:lvlJc w:val="left"/>
      <w:pPr>
        <w:ind w:left="1440" w:hanging="360"/>
      </w:pPr>
    </w:lvl>
    <w:lvl w:ilvl="2" w:tplc="6F268602">
      <w:start w:val="1"/>
      <w:numFmt w:val="bullet"/>
      <w:lvlText w:val="■"/>
      <w:lvlJc w:val="left"/>
      <w:pPr>
        <w:ind w:left="2160" w:hanging="360"/>
      </w:pPr>
    </w:lvl>
    <w:lvl w:ilvl="3" w:tplc="6E2AB020">
      <w:start w:val="1"/>
      <w:numFmt w:val="bullet"/>
      <w:lvlText w:val="●"/>
      <w:lvlJc w:val="left"/>
      <w:pPr>
        <w:ind w:left="2880" w:hanging="360"/>
      </w:pPr>
    </w:lvl>
    <w:lvl w:ilvl="4" w:tplc="71F66538">
      <w:start w:val="1"/>
      <w:numFmt w:val="bullet"/>
      <w:lvlText w:val="○"/>
      <w:lvlJc w:val="left"/>
      <w:pPr>
        <w:ind w:left="3600" w:hanging="360"/>
      </w:pPr>
    </w:lvl>
    <w:lvl w:ilvl="5" w:tplc="6E48485E">
      <w:start w:val="1"/>
      <w:numFmt w:val="bullet"/>
      <w:lvlText w:val="■"/>
      <w:lvlJc w:val="left"/>
      <w:pPr>
        <w:ind w:left="4320" w:hanging="360"/>
      </w:pPr>
    </w:lvl>
    <w:lvl w:ilvl="6" w:tplc="CE96DC80">
      <w:start w:val="1"/>
      <w:numFmt w:val="bullet"/>
      <w:lvlText w:val="●"/>
      <w:lvlJc w:val="left"/>
      <w:pPr>
        <w:ind w:left="5040" w:hanging="360"/>
      </w:pPr>
    </w:lvl>
    <w:lvl w:ilvl="7" w:tplc="B9CECC7A">
      <w:start w:val="1"/>
      <w:numFmt w:val="bullet"/>
      <w:lvlText w:val="●"/>
      <w:lvlJc w:val="left"/>
      <w:pPr>
        <w:ind w:left="5760" w:hanging="360"/>
      </w:pPr>
    </w:lvl>
    <w:lvl w:ilvl="8" w:tplc="1134570A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67D46B26"/>
    <w:multiLevelType w:val="hybridMultilevel"/>
    <w:tmpl w:val="A2CC07CC"/>
    <w:lvl w:ilvl="0" w:tplc="72CA0E8E">
      <w:start w:val="1"/>
      <w:numFmt w:val="bullet"/>
      <w:lvlText w:val="•"/>
      <w:lvlJc w:val="left"/>
      <w:pPr>
        <w:ind w:left="720" w:hanging="360"/>
      </w:pPr>
    </w:lvl>
    <w:lvl w:ilvl="1" w:tplc="C10215A8">
      <w:numFmt w:val="decimal"/>
      <w:lvlText w:val=""/>
      <w:lvlJc w:val="left"/>
    </w:lvl>
    <w:lvl w:ilvl="2" w:tplc="31469E24">
      <w:numFmt w:val="decimal"/>
      <w:lvlText w:val=""/>
      <w:lvlJc w:val="left"/>
    </w:lvl>
    <w:lvl w:ilvl="3" w:tplc="4F7EE41A">
      <w:numFmt w:val="decimal"/>
      <w:lvlText w:val=""/>
      <w:lvlJc w:val="left"/>
    </w:lvl>
    <w:lvl w:ilvl="4" w:tplc="52C25704">
      <w:numFmt w:val="decimal"/>
      <w:lvlText w:val=""/>
      <w:lvlJc w:val="left"/>
    </w:lvl>
    <w:lvl w:ilvl="5" w:tplc="B9DA91CE">
      <w:numFmt w:val="decimal"/>
      <w:lvlText w:val=""/>
      <w:lvlJc w:val="left"/>
    </w:lvl>
    <w:lvl w:ilvl="6" w:tplc="16DC6126">
      <w:numFmt w:val="decimal"/>
      <w:lvlText w:val=""/>
      <w:lvlJc w:val="left"/>
    </w:lvl>
    <w:lvl w:ilvl="7" w:tplc="5C6CFF0A">
      <w:numFmt w:val="decimal"/>
      <w:lvlText w:val=""/>
      <w:lvlJc w:val="left"/>
    </w:lvl>
    <w:lvl w:ilvl="8" w:tplc="BB762600">
      <w:numFmt w:val="decimal"/>
      <w:lvlText w:val=""/>
      <w:lvlJc w:val="left"/>
    </w:lvl>
  </w:abstractNum>
  <w:abstractNum w:abstractNumId="5" w15:restartNumberingAfterBreak="0">
    <w:nsid w:val="6E2C704A"/>
    <w:multiLevelType w:val="hybridMultilevel"/>
    <w:tmpl w:val="09904268"/>
    <w:lvl w:ilvl="0" w:tplc="08002240">
      <w:start w:val="1"/>
      <w:numFmt w:val="bullet"/>
      <w:lvlText w:val="•"/>
      <w:lvlJc w:val="left"/>
      <w:pPr>
        <w:ind w:left="720" w:hanging="360"/>
      </w:pPr>
    </w:lvl>
    <w:lvl w:ilvl="1" w:tplc="51405A52">
      <w:numFmt w:val="decimal"/>
      <w:lvlText w:val=""/>
      <w:lvlJc w:val="left"/>
    </w:lvl>
    <w:lvl w:ilvl="2" w:tplc="923A24CA">
      <w:numFmt w:val="decimal"/>
      <w:lvlText w:val=""/>
      <w:lvlJc w:val="left"/>
    </w:lvl>
    <w:lvl w:ilvl="3" w:tplc="CF08FE5E">
      <w:numFmt w:val="decimal"/>
      <w:lvlText w:val=""/>
      <w:lvlJc w:val="left"/>
    </w:lvl>
    <w:lvl w:ilvl="4" w:tplc="0792B0EA">
      <w:numFmt w:val="decimal"/>
      <w:lvlText w:val=""/>
      <w:lvlJc w:val="left"/>
    </w:lvl>
    <w:lvl w:ilvl="5" w:tplc="8E166892">
      <w:numFmt w:val="decimal"/>
      <w:lvlText w:val=""/>
      <w:lvlJc w:val="left"/>
    </w:lvl>
    <w:lvl w:ilvl="6" w:tplc="3904D9F4">
      <w:numFmt w:val="decimal"/>
      <w:lvlText w:val=""/>
      <w:lvlJc w:val="left"/>
    </w:lvl>
    <w:lvl w:ilvl="7" w:tplc="0C40744E">
      <w:numFmt w:val="decimal"/>
      <w:lvlText w:val=""/>
      <w:lvlJc w:val="left"/>
    </w:lvl>
    <w:lvl w:ilvl="8" w:tplc="69CE74E2">
      <w:numFmt w:val="decimal"/>
      <w:lvlText w:val=""/>
      <w:lvlJc w:val="left"/>
    </w:lvl>
  </w:abstractNum>
  <w:abstractNum w:abstractNumId="6" w15:restartNumberingAfterBreak="0">
    <w:nsid w:val="7BCB6157"/>
    <w:multiLevelType w:val="hybridMultilevel"/>
    <w:tmpl w:val="36025970"/>
    <w:lvl w:ilvl="0" w:tplc="7A4E9CE0">
      <w:start w:val="1"/>
      <w:numFmt w:val="bullet"/>
      <w:lvlText w:val="•"/>
      <w:lvlJc w:val="left"/>
      <w:pPr>
        <w:ind w:left="720" w:hanging="360"/>
      </w:pPr>
    </w:lvl>
    <w:lvl w:ilvl="1" w:tplc="E2709336">
      <w:numFmt w:val="decimal"/>
      <w:lvlText w:val=""/>
      <w:lvlJc w:val="left"/>
    </w:lvl>
    <w:lvl w:ilvl="2" w:tplc="2B6E6200">
      <w:numFmt w:val="decimal"/>
      <w:lvlText w:val=""/>
      <w:lvlJc w:val="left"/>
    </w:lvl>
    <w:lvl w:ilvl="3" w:tplc="F52644B4">
      <w:numFmt w:val="decimal"/>
      <w:lvlText w:val=""/>
      <w:lvlJc w:val="left"/>
    </w:lvl>
    <w:lvl w:ilvl="4" w:tplc="007E4902">
      <w:numFmt w:val="decimal"/>
      <w:lvlText w:val=""/>
      <w:lvlJc w:val="left"/>
    </w:lvl>
    <w:lvl w:ilvl="5" w:tplc="4A065B6C">
      <w:numFmt w:val="decimal"/>
      <w:lvlText w:val=""/>
      <w:lvlJc w:val="left"/>
    </w:lvl>
    <w:lvl w:ilvl="6" w:tplc="D1949016">
      <w:numFmt w:val="decimal"/>
      <w:lvlText w:val=""/>
      <w:lvlJc w:val="left"/>
    </w:lvl>
    <w:lvl w:ilvl="7" w:tplc="2D2068FE">
      <w:numFmt w:val="decimal"/>
      <w:lvlText w:val=""/>
      <w:lvlJc w:val="left"/>
    </w:lvl>
    <w:lvl w:ilvl="8" w:tplc="345027CE">
      <w:numFmt w:val="decimal"/>
      <w:lvlText w:val=""/>
      <w:lvlJc w:val="left"/>
    </w:lvl>
  </w:abstractNum>
  <w:num w:numId="1" w16cid:durableId="1472747989">
    <w:abstractNumId w:val="3"/>
    <w:lvlOverride w:ilvl="0">
      <w:startOverride w:val="1"/>
    </w:lvlOverride>
  </w:num>
  <w:num w:numId="2" w16cid:durableId="197932685">
    <w:abstractNumId w:val="5"/>
    <w:lvlOverride w:ilvl="0">
      <w:startOverride w:val="1"/>
    </w:lvlOverride>
  </w:num>
  <w:num w:numId="3" w16cid:durableId="758254462">
    <w:abstractNumId w:val="2"/>
    <w:lvlOverride w:ilvl="0">
      <w:startOverride w:val="1"/>
    </w:lvlOverride>
  </w:num>
  <w:num w:numId="4" w16cid:durableId="624507334">
    <w:abstractNumId w:val="6"/>
    <w:lvlOverride w:ilvl="0">
      <w:startOverride w:val="1"/>
    </w:lvlOverride>
  </w:num>
  <w:num w:numId="5" w16cid:durableId="1079716947">
    <w:abstractNumId w:val="0"/>
    <w:lvlOverride w:ilvl="0">
      <w:startOverride w:val="1"/>
    </w:lvlOverride>
  </w:num>
  <w:num w:numId="6" w16cid:durableId="71393775">
    <w:abstractNumId w:val="4"/>
    <w:lvlOverride w:ilvl="0">
      <w:startOverride w:val="1"/>
    </w:lvlOverride>
  </w:num>
  <w:num w:numId="7" w16cid:durableId="7343286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59"/>
  <w:displayBackgroundShape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5A5"/>
    <w:rsid w:val="00064D22"/>
    <w:rsid w:val="001D5305"/>
    <w:rsid w:val="002B6AA5"/>
    <w:rsid w:val="002C33F2"/>
    <w:rsid w:val="002E7223"/>
    <w:rsid w:val="0032655B"/>
    <w:rsid w:val="003E024E"/>
    <w:rsid w:val="00474BB0"/>
    <w:rsid w:val="004F4959"/>
    <w:rsid w:val="005960E2"/>
    <w:rsid w:val="00686FA7"/>
    <w:rsid w:val="007225A5"/>
    <w:rsid w:val="00763ECD"/>
    <w:rsid w:val="007F5C09"/>
    <w:rsid w:val="008A700E"/>
    <w:rsid w:val="00922807"/>
    <w:rsid w:val="009242BA"/>
    <w:rsid w:val="009C3CE7"/>
    <w:rsid w:val="00AE2CBB"/>
    <w:rsid w:val="00BB41CB"/>
    <w:rsid w:val="00D5357A"/>
    <w:rsid w:val="00D55BC6"/>
    <w:rsid w:val="00E124F3"/>
    <w:rsid w:val="00F747BC"/>
    <w:rsid w:val="00FF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4D5F7"/>
  <w15:docId w15:val="{AE0649B0-6F5E-D14C-B800-24698CE6A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F00D1"/>
  </w:style>
  <w:style w:type="paragraph" w:styleId="berschrift1">
    <w:name w:val="heading 1"/>
    <w:uiPriority w:val="9"/>
    <w:qFormat/>
    <w:pPr>
      <w:spacing w:before="360" w:after="160"/>
      <w:outlineLvl w:val="0"/>
    </w:pPr>
    <w:rPr>
      <w:b/>
      <w:bCs/>
      <w:color w:val="1E1A4B"/>
      <w:sz w:val="32"/>
      <w:szCs w:val="32"/>
    </w:rPr>
  </w:style>
  <w:style w:type="paragraph" w:styleId="berschrift2">
    <w:name w:val="heading 2"/>
    <w:uiPriority w:val="9"/>
    <w:unhideWhenUsed/>
    <w:qFormat/>
    <w:pPr>
      <w:spacing w:before="240" w:after="120"/>
      <w:outlineLvl w:val="1"/>
    </w:pPr>
    <w:rPr>
      <w:b/>
      <w:bCs/>
      <w:color w:val="1E1A4B"/>
      <w:sz w:val="26"/>
      <w:szCs w:val="26"/>
    </w:rPr>
  </w:style>
  <w:style w:type="paragraph" w:styleId="berschrift3">
    <w:name w:val="heading 3"/>
    <w:uiPriority w:val="9"/>
    <w:unhideWhenUsed/>
    <w:qFormat/>
    <w:rsid w:val="00763ECD"/>
    <w:pPr>
      <w:spacing w:after="240"/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customStyle="1" w:styleId="Style">
    <w:name w:val="Style"/>
    <w:rsid w:val="00FF00D1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val="en-US" w:eastAsia="zh-CN"/>
    </w:rPr>
  </w:style>
  <w:style w:type="paragraph" w:styleId="Kopfzeile">
    <w:name w:val="header"/>
    <w:basedOn w:val="Standard"/>
    <w:link w:val="KopfzeileZchn"/>
    <w:uiPriority w:val="99"/>
    <w:unhideWhenUsed/>
    <w:rsid w:val="00FF00D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F00D1"/>
  </w:style>
  <w:style w:type="paragraph" w:styleId="Fuzeile">
    <w:name w:val="footer"/>
    <w:basedOn w:val="Standard"/>
    <w:link w:val="FuzeileZchn"/>
    <w:uiPriority w:val="99"/>
    <w:unhideWhenUsed/>
    <w:rsid w:val="00FF00D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F00D1"/>
  </w:style>
  <w:style w:type="character" w:styleId="BesuchterLink">
    <w:name w:val="FollowedHyperlink"/>
    <w:basedOn w:val="Absatz-Standardschriftart"/>
    <w:uiPriority w:val="99"/>
    <w:semiHidden/>
    <w:unhideWhenUsed/>
    <w:rsid w:val="00763E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pwa.lupmis4luspa.or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upmis.ammonvictor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pwa.lupmis4lusp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upmis.ammonvictor.com" TargetMode="External"/><Relationship Id="rId14" Type="http://schemas.openxmlformats.org/officeDocument/2006/relationships/footer" Target="footer1.xml"/><Relationship Id="rId17" Type="http://schemas.openxmlformats.org/officeDocument/2006/relationships/header" Target="header2.xml"/><Relationship Id="rId18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9419</Words>
  <Characters>61321</Characters>
  <Application>Microsoft Office Word</Application>
  <DocSecurity>0</DocSecurity>
  <Lines>1657</Lines>
  <Paragraphs>1645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17</vt:i4>
      </vt:variant>
    </vt:vector>
  </HeadingPairs>
  <TitlesOfParts>
    <vt:vector size="18" baseType="lpstr">
      <vt:lpstr/>
      <vt:lpstr>1. Executive Summary</vt:lpstr>
      <vt:lpstr>2. Project Background</vt:lpstr>
      <vt:lpstr>3. Current Development Status</vt:lpstr>
      <vt:lpstr>4. Comparison with Functional Specifications</vt:lpstr>
      <vt:lpstr>5. Design &amp; Brand Compliance</vt:lpstr>
      <vt:lpstr>6. Stakeholder Engagement Summary</vt:lpstr>
      <vt:lpstr>    Key Findings</vt:lpstr>
      <vt:lpstr>    Integration Priorities</vt:lpstr>
      <vt:lpstr>7. Pilot District Workshop Feedback</vt:lpstr>
      <vt:lpstr>    Public Portal</vt:lpstr>
      <vt:lpstr>    District Backend</vt:lpstr>
      <vt:lpstr>    Drawing and Measurement Tools</vt:lpstr>
      <vt:lpstr>    Parcel Generator</vt:lpstr>
      <vt:lpstr>8. Technical Architecture Overview</vt:lpstr>
      <vt:lpstr>9. Deployment &amp; Access</vt:lpstr>
      <vt:lpstr>10. Upcoming Work &amp; Recommendations</vt:lpstr>
      <vt:lpstr>11. Conclusion</vt:lpstr>
    </vt:vector>
  </TitlesOfParts>
  <Company/>
  <LinksUpToDate>false</LinksUpToDate>
  <CharactersWithSpaces>69095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Ekkehardt Roth</cp:lastModifiedBy>
  <cp:revision>12</cp:revision>
  <dcterms:created xsi:type="dcterms:W3CDTF">2026-04-28T08:03:00Z</dcterms:created>
  <dcterms:modified xsi:type="dcterms:W3CDTF">2026-06-29T14:10:00Z</dcterms:modified>
  <dc:title>LUPMIS2 Open Issues and Development Estimates</dc:title>
</cp:coreProperties>
</file>