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169EA7" w14:textId="77777777" w:rsidR="007225A5" w:rsidRPr="003E024E" w:rsidRDefault="00FF00D1">
      <w:pPr>
        <w:spacing w:before="3000"/>
        <w:rPr>
          <w:lang w:val="en-GB"/>
        </w:rPr>
      </w:pPr>
      <w:r>
        <w:rPr>
          <w:rFonts w:ascii="IBM Plex Sans" w:eastAsia="Arial" w:hAnsi="IBM Plex Sans" w:cs="Arial"/>
          <w:noProof/>
          <w:lang w:val="en-GB"/>
        </w:rPr>
        <w:drawing>
          <wp:anchor distT="0" distB="0" distL="114300" distR="114300" simplePos="0" relativeHeight="251659264" behindDoc="1" locked="0" layoutInCell="1" allowOverlap="1" wp14:anchorId="1BDEF08B" wp14:editId="52BED425">
            <wp:simplePos x="0" y="0"/>
            <wp:positionH relativeFrom="column">
              <wp:posOffset>79375</wp:posOffset>
            </wp:positionH>
            <wp:positionV relativeFrom="paragraph">
              <wp:posOffset>701813</wp:posOffset>
            </wp:positionV>
            <wp:extent cx="6094730" cy="8616950"/>
            <wp:effectExtent l="0" t="0" r="1270" b="6350"/>
            <wp:wrapNone/>
            <wp:docPr id="13547029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02900" name="Grafik 13547029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94730" cy="8616950"/>
                    </a:xfrm>
                    <a:prstGeom prst="rect">
                      <a:avLst/>
                    </a:prstGeom>
                  </pic:spPr>
                </pic:pic>
              </a:graphicData>
            </a:graphic>
            <wp14:sizeRelH relativeFrom="margin">
              <wp14:pctWidth>0</wp14:pctWidth>
            </wp14:sizeRelH>
            <wp14:sizeRelV relativeFrom="margin">
              <wp14:pctHeight>0</wp14:pctHeight>
            </wp14:sizeRelV>
          </wp:anchor>
        </w:drawing>
      </w:r>
    </w:p>
    <w:p w14:paraId="3CD155B8" w14:textId="77777777" w:rsidR="00FF00D1" w:rsidRPr="003E024E" w:rsidRDefault="00FF00D1" w:rsidP="00FF00D1">
      <w:pPr>
        <w:pStyle w:val="Style"/>
        <w:spacing w:line="946" w:lineRule="exact"/>
        <w:ind w:left="1718"/>
        <w:textAlignment w:val="baseline"/>
        <w:rPr>
          <w:rFonts w:ascii="IBM Plex Sans" w:hAnsi="IBM Plex Sans"/>
          <w:lang w:val="en-GB"/>
        </w:rPr>
      </w:pPr>
      <w:r>
        <w:rPr>
          <w:rFonts w:ascii="IBM Plex Sans" w:eastAsia="Courier New" w:hAnsi="IBM Plex Sans" w:cs="Courier New"/>
          <w:w w:val="78"/>
          <w:sz w:val="76"/>
          <w:szCs w:val="76"/>
          <w:lang w:val="en-GB"/>
        </w:rPr>
        <w:t>GHANA</w:t>
      </w:r>
    </w:p>
    <w:p w14:paraId="45D240A5" w14:textId="77777777" w:rsidR="00FF00D1" w:rsidRPr="003E024E" w:rsidRDefault="00FF00D1" w:rsidP="00FF00D1">
      <w:pPr>
        <w:pStyle w:val="Style"/>
        <w:spacing w:before="4" w:line="432" w:lineRule="exact"/>
        <w:ind w:left="1704"/>
        <w:textAlignment w:val="baseline"/>
        <w:rPr>
          <w:rFonts w:ascii="IBM Plex Sans" w:hAnsi="IBM Plex Sans"/>
          <w:lang w:val="en-GB"/>
        </w:rPr>
      </w:pPr>
      <w:r>
        <w:rPr>
          <w:rFonts w:ascii="IBM Plex Sans" w:eastAsia="Arial" w:hAnsi="IBM Plex Sans" w:cs="Arial"/>
          <w:sz w:val="31"/>
          <w:szCs w:val="31"/>
          <w:lang w:val="en-GB"/>
        </w:rPr>
        <w:t xml:space="preserve">Development of a Spatial Planning and Management Information System for Ghana </w:t>
      </w:r>
    </w:p>
    <w:p w14:paraId="2E06DAC0" w14:textId="77777777" w:rsidR="00FF00D1" w:rsidRPr="003E024E" w:rsidRDefault="00FF00D1" w:rsidP="00FF00D1">
      <w:pPr>
        <w:spacing w:before="240"/>
        <w:jc w:val="center"/>
        <w:rPr>
          <w:rFonts w:ascii="IBM Plex Sans" w:eastAsia="Arial" w:hAnsi="IBM Plex Sans" w:cs="Arial"/>
          <w:lang w:val="en-GB"/>
        </w:rPr>
      </w:pPr>
      <w:r>
        <w:rPr>
          <w:b/>
          <w:bCs/>
          <w:color w:val="1E1A4B"/>
          <w:sz w:val="28"/>
          <w:szCs w:val="28"/>
          <w:lang w:val="en-GB"/>
        </w:rPr>
        <w:t xml:space="preserve">LUPMIS2 </w:t>
      </w:r>
      <w:r>
        <w:rPr>
          <w:rFonts w:ascii="IBM Plex Sans" w:eastAsia="Arial" w:hAnsi="IBM Plex Sans" w:cs="Arial"/>
          <w:lang w:val="en-GB"/>
        </w:rPr>
        <w:t xml:space="preserve">Buffer (Circle) Tool — User Guide </w:t>
      </w:r>
    </w:p>
    <w:p w14:paraId="5802C54D" w14:textId="77777777" w:rsidR="00FF00D1" w:rsidRPr="003E024E" w:rsidRDefault="00FF00D1" w:rsidP="00FF00D1">
      <w:pPr>
        <w:spacing w:before="240"/>
        <w:jc w:val="center"/>
        <w:rPr>
          <w:rFonts w:ascii="IBM Plex Sans" w:eastAsia="Arial" w:hAnsi="IBM Plex Sans" w:cs="Arial"/>
          <w:lang w:val="en-GB"/>
        </w:rPr>
      </w:pPr>
      <w:r>
        <w:rPr>
          <w:rFonts w:ascii="IBM Plex Sans" w:eastAsia="Arial" w:hAnsi="IBM Plex Sans" w:cs="Arial"/>
          <w:lang w:val="en-GB"/>
        </w:rPr>
        <w:t>Measuring a radius around a point  ·  August 2026</w:t>
      </w:r>
    </w:p>
    <w:p w14:paraId="7D57F4BC" w14:textId="77777777" w:rsidR="007225A5" w:rsidRPr="003E024E" w:rsidRDefault="007225A5">
      <w:pPr>
        <w:jc w:val="center"/>
        <w:rPr>
          <w:lang w:val="en-GB"/>
        </w:rPr>
      </w:pPr>
    </w:p>
    <w:p w14:paraId="3254C15D" w14:textId="77777777" w:rsidR="007225A5" w:rsidRPr="003E024E" w:rsidRDefault="007225A5">
      <w:pPr>
        <w:rPr>
          <w:lang w:val="en-GB"/>
        </w:rPr>
        <w:sectPr w:rsidR="007225A5" w:rsidRPr="003E024E">
          <w:pgSz w:w="11906" w:h="16838"/>
          <w:pgMar w:top="1440" w:right="1440" w:bottom="1440" w:left="1440" w:header="708" w:footer="708" w:gutter="0"/>
          <w:cols w:space="720"/>
          <w:docGrid w:linePitch="360"/>
        </w:sectPr>
      </w:pPr>
    </w:p>
    <w:p>
      <w:pPr>
        <w:pStyle w:val="berschrift1"/>
      </w:pPr>
      <w:r>
        <w:t>Buffer (Circle) Tool — User Guide</w:t>
      </w:r>
    </w:p>
    <w:p>
      <w:pPr>
        <w:spacing w:after="200"/>
      </w:pPr>
      <w:r>
        <w:rPr>
          <w:rFonts w:ascii="Calibri" w:hAnsi="Calibri"/>
          <w:b w:val="0"/>
          <w:i/>
          <w:color w:val="6B7280"/>
          <w:sz w:val="20"/>
        </w:rPr>
        <w:t>How to measure a radius around a point and see what falls inside it  ·  August 2026</w:t>
      </w:r>
    </w:p>
    <w:p>
      <w:pPr>
        <w:pStyle w:val="berschrift1"/>
      </w:pPr>
      <w:r>
        <w:t>1. First — what the tool is called</w:t>
      </w: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EEF2FF"/>
          </w:tcPr>
          <w:p>
            <w:pPr>
              <w:spacing w:before="80" w:after="80"/>
            </w:pPr>
            <w:r/>
            <w:r>
              <w:rPr>
                <w:rFonts w:ascii="Calibri" w:hAnsi="Calibri"/>
                <w:b/>
                <w:color w:val="333333"/>
                <w:sz w:val="21"/>
              </w:rPr>
              <w:t xml:space="preserve">There is no button named “Buffer”. </w:t>
            </w:r>
            <w:r>
              <w:rPr>
                <w:rFonts w:ascii="Calibri" w:hAnsi="Calibri"/>
                <w:b w:val="0"/>
                <w:color w:val="333333"/>
                <w:sz w:val="21"/>
              </w:rPr>
              <w:t xml:space="preserve">The tool that creates a buffer around a point is the </w:t>
            </w:r>
            <w:r>
              <w:rPr>
                <w:rFonts w:ascii="Calibri" w:hAnsi="Calibri"/>
                <w:b/>
                <w:color w:val="333333"/>
                <w:sz w:val="21"/>
              </w:rPr>
              <w:t>Circle</w:t>
            </w:r>
            <w:r>
              <w:rPr>
                <w:rFonts w:ascii="Calibri" w:hAnsi="Calibri"/>
                <w:b w:val="0"/>
                <w:color w:val="333333"/>
                <w:sz w:val="21"/>
              </w:rPr>
              <w:t xml:space="preserve"> button (the circle icon) in the toolbar at the bottom of the map. A circle drawn around a point </w:t>
            </w:r>
            <w:r>
              <w:rPr>
                <w:rFonts w:ascii="Calibri" w:hAnsi="Calibri"/>
                <w:b w:val="0"/>
                <w:color w:val="333333"/>
                <w:sz w:val="21"/>
              </w:rPr>
              <w:t>is</w:t>
            </w:r>
            <w:r>
              <w:rPr>
                <w:rFonts w:ascii="Calibri" w:hAnsi="Calibri"/>
                <w:b w:val="0"/>
                <w:color w:val="333333"/>
                <w:sz w:val="21"/>
              </w:rPr>
              <w:t xml:space="preserve"> a buffer — everything within a fixed distance of that point — which is why the two names are used for the same thing. Look for </w:t>
            </w:r>
            <w:r>
              <w:rPr>
                <w:rFonts w:ascii="Calibri" w:hAnsi="Calibri"/>
                <w:b/>
                <w:color w:val="333333"/>
                <w:sz w:val="21"/>
              </w:rPr>
              <w:t>Circle</w:t>
            </w:r>
            <w:r>
              <w:rPr>
                <w:rFonts w:ascii="Calibri" w:hAnsi="Calibri"/>
                <w:b w:val="0"/>
                <w:color w:val="333333"/>
                <w:sz w:val="21"/>
              </w:rPr>
              <w:t>, not “Buffer”.</w:t>
            </w:r>
          </w:p>
        </w:tc>
      </w:tr>
    </w:tbl>
    <w:p>
      <w:pPr>
        <w:spacing w:after="80"/>
      </w:pPr>
    </w:p>
    <w:p>
      <w:pPr>
        <w:spacing w:after="120"/>
      </w:pPr>
      <w:r>
        <w:rPr>
          <w:rFonts w:ascii="Calibri" w:hAnsi="Calibri"/>
          <w:b w:val="0"/>
          <w:i w:val="0"/>
          <w:color w:val="333333"/>
          <w:sz w:val="22"/>
        </w:rPr>
        <w:t>This guide explains how to draw one, how to read what it tells you, and — the part most often missed — how to see which parcels and zones fall inside it.</w:t>
      </w:r>
    </w:p>
    <w:p>
      <w:pPr>
        <w:pStyle w:val="berschrift1"/>
      </w:pPr>
      <w:r>
        <w:t>2. What the tool gives you</w:t>
      </w:r>
    </w:p>
    <w:p>
      <w:pPr>
        <w:spacing w:after="120"/>
      </w:pPr>
      <w:r>
        <w:rPr>
          <w:rFonts w:ascii="Calibri" w:hAnsi="Calibri"/>
          <w:b w:val="0"/>
          <w:i w:val="0"/>
          <w:color w:val="333333"/>
          <w:sz w:val="22"/>
        </w:rPr>
        <w:t>The Circle tool does two separate jobs. Most users find the first one immediately and never discover the second.</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4513"/>
        <w:gridCol w:w="4513"/>
      </w:tblGrid>
      <w:tr>
        <w:trPr>
          <w:tblHeader w:val="true"/>
        </w:trPr>
        <w:tc>
          <w:tcPr>
            <w:tcW w:type="dxa" w:w="5184"/>
            <w:shd w:val="clear" w:fill="1E1A4B"/>
          </w:tcPr>
          <w:p>
            <w:pPr>
              <w:spacing w:after="20" w:before="20"/>
            </w:pPr>
            <w:r/>
            <w:r>
              <w:rPr>
                <w:rFonts w:ascii="Calibri" w:hAnsi="Calibri"/>
                <w:b/>
                <w:color w:val="FFFFFF"/>
                <w:sz w:val="20"/>
              </w:rPr>
              <w:t>What you get</w:t>
            </w:r>
          </w:p>
        </w:tc>
        <w:tc>
          <w:tcPr>
            <w:tcW w:type="dxa" w:w="4752"/>
            <w:shd w:val="clear" w:fill="1E1A4B"/>
          </w:tcPr>
          <w:p>
            <w:pPr>
              <w:spacing w:after="20" w:before="20"/>
            </w:pPr>
            <w:r/>
            <w:r>
              <w:rPr>
                <w:rFonts w:ascii="Calibri" w:hAnsi="Calibri"/>
                <w:b/>
                <w:color w:val="FFFFFF"/>
                <w:sz w:val="20"/>
              </w:rPr>
              <w:t>How you get it</w:t>
            </w:r>
          </w:p>
        </w:tc>
      </w:tr>
      <w:tr>
        <w:trPr>
          <w:cantSplit/>
        </w:trPr>
        <w:tc>
          <w:tcPr>
            <w:tcW w:type="dxa" w:w="5184"/>
            <w:shd w:val="clear" w:fill="FFFFFF"/>
          </w:tcPr>
          <w:p>
            <w:pPr>
              <w:spacing w:after="20" w:before="20"/>
            </w:pPr>
            <w:r/>
            <w:r>
              <w:rPr>
                <w:rFonts w:ascii="Calibri" w:hAnsi="Calibri"/>
                <w:b/>
                <w:color w:val="333333"/>
                <w:sz w:val="19"/>
              </w:rPr>
              <w:t>The distance and the area — the radius of the circle and the ground area it covers</w:t>
            </w:r>
          </w:p>
        </w:tc>
        <w:tc>
          <w:tcPr>
            <w:tcW w:type="dxa" w:w="4752"/>
            <w:shd w:val="clear" w:fill="FFFFFF"/>
          </w:tcPr>
          <w:p>
            <w:pPr>
              <w:spacing w:after="20" w:before="20"/>
            </w:pPr>
            <w:r/>
            <w:r>
              <w:rPr>
                <w:rFonts w:ascii="Calibri" w:hAnsi="Calibri"/>
                <w:b w:val="0"/>
                <w:color w:val="333333"/>
                <w:sz w:val="19"/>
              </w:rPr>
              <w:t>Shown automatically while you draw</w:t>
            </w:r>
          </w:p>
        </w:tc>
      </w:tr>
      <w:tr>
        <w:trPr>
          <w:cantSplit/>
        </w:trPr>
        <w:tc>
          <w:tcPr>
            <w:tcW w:type="dxa" w:w="5184"/>
            <w:shd w:val="clear" w:fill="F0F0F8"/>
          </w:tcPr>
          <w:p>
            <w:pPr>
              <w:spacing w:after="20" w:before="20"/>
            </w:pPr>
            <w:r/>
            <w:r>
              <w:rPr>
                <w:rFonts w:ascii="Calibri" w:hAnsi="Calibri"/>
                <w:b/>
                <w:color w:val="333333"/>
                <w:sz w:val="19"/>
              </w:rPr>
              <w:t>The analysis — a list of the parcels, zones and other features that fall inside the circle</w:t>
            </w:r>
          </w:p>
        </w:tc>
        <w:tc>
          <w:tcPr>
            <w:tcW w:type="dxa" w:w="4752"/>
            <w:shd w:val="clear" w:fill="F0F0F8"/>
          </w:tcPr>
          <w:p>
            <w:pPr>
              <w:spacing w:after="20" w:before="20"/>
            </w:pPr>
            <w:r/>
            <w:r>
              <w:rPr>
                <w:rFonts w:ascii="Calibri" w:hAnsi="Calibri"/>
                <w:b w:val="0"/>
                <w:color w:val="333333"/>
                <w:sz w:val="19"/>
              </w:rPr>
              <w:t>Only appears when you DOUBLE-CLICK the finished circle</w:t>
            </w:r>
          </w:p>
        </w:tc>
      </w:tr>
    </w:tbl>
    <w:p>
      <w:pPr>
        <w:spacing w:after="80"/>
      </w:pPr>
    </w:p>
    <w:tbl>
      <w:tblPr>
        <w:tblW w:type="auto" w:w="0"/>
        <w:tblLayout w:type="fixed"/>
        <w:tblLook w:firstColumn="1" w:firstRow="1" w:lastColumn="0" w:lastRow="0" w:noHBand="0" w:noVBand="1" w:val="04A0"/>
        <w:tblBorders>
          <w:top w:val="single" w:sz="4" w:space="0" w:color="FDBA74"/>
          <w:left w:val="single" w:sz="4" w:space="0" w:color="FDBA74"/>
          <w:bottom w:val="single" w:sz="4" w:space="0" w:color="FDBA74"/>
          <w:right w:val="single" w:sz="4" w:space="0" w:color="FDBA74"/>
        </w:tblBorders>
      </w:tblPr>
      <w:tblGrid>
        <w:gridCol w:w="9026"/>
      </w:tblGrid>
      <w:tr>
        <w:tc>
          <w:tcPr>
            <w:tcW w:type="dxa" w:w="9936"/>
            <w:shd w:val="clear" w:fill="FFF7ED"/>
          </w:tcPr>
          <w:p>
            <w:pPr>
              <w:spacing w:before="80" w:after="80"/>
            </w:pPr>
            <w:r/>
            <w:r>
              <w:rPr>
                <w:rFonts w:ascii="Calibri" w:hAnsi="Calibri"/>
                <w:b w:val="0"/>
                <w:color w:val="333333"/>
                <w:sz w:val="21"/>
              </w:rPr>
              <w:t xml:space="preserve">If you have been drawing circles and only seeing a distance, this is what you were missing: </w:t>
            </w:r>
            <w:r>
              <w:rPr>
                <w:rFonts w:ascii="Calibri" w:hAnsi="Calibri"/>
                <w:b/>
                <w:color w:val="333333"/>
                <w:sz w:val="21"/>
              </w:rPr>
              <w:t>double-click the circle after you finish it.</w:t>
            </w:r>
          </w:p>
        </w:tc>
      </w:tr>
    </w:tbl>
    <w:p>
      <w:pPr>
        <w:spacing w:after="80"/>
      </w:pPr>
    </w:p>
    <w:p>
      <w:pPr>
        <w:pStyle w:val="berschrift1"/>
      </w:pPr>
      <w:r>
        <w:t>3. Drawing a circle — it is two clicks, not a drag</w:t>
      </w:r>
    </w:p>
    <w:p>
      <w:pPr>
        <w:spacing w:after="120"/>
      </w:pPr>
      <w:r>
        <w:rPr>
          <w:rFonts w:ascii="Calibri" w:hAnsi="Calibri"/>
          <w:b w:val="0"/>
          <w:i w:val="0"/>
          <w:color w:val="333333"/>
          <w:sz w:val="22"/>
        </w:rPr>
        <w:t xml:space="preserve">This is the second common source of confusion. The circle is </w:t>
      </w:r>
      <w:r>
        <w:rPr>
          <w:rFonts w:ascii="Calibri" w:hAnsi="Calibri"/>
          <w:b/>
          <w:i/>
          <w:color w:val="333333"/>
          <w:sz w:val="22"/>
        </w:rPr>
        <w:t>not</w:t>
      </w:r>
      <w:r>
        <w:rPr>
          <w:rFonts w:ascii="Calibri" w:hAnsi="Calibri"/>
          <w:b w:val="0"/>
          <w:i w:val="0"/>
          <w:color w:val="333333"/>
          <w:sz w:val="22"/>
        </w:rPr>
        <w:t xml:space="preserve"> created by holding the mouse button down and dragging outwards. It takes two separate clicks.</w:t>
      </w:r>
    </w:p>
    <w:p>
      <w:pPr>
        <w:spacing w:after="100"/>
        <w:ind w:left="490" w:hanging="490"/>
      </w:pPr>
      <w:r>
        <w:rPr>
          <w:rFonts w:ascii="Calibri" w:hAnsi="Calibri"/>
          <w:b/>
          <w:color w:val="16A34A"/>
          <w:sz w:val="22"/>
        </w:rPr>
        <w:t>1.</w:t>
        <w:tab/>
      </w:r>
      <w:r>
        <w:rPr>
          <w:rFonts w:ascii="Calibri" w:hAnsi="Calibri"/>
          <w:b w:val="0"/>
          <w:i w:val="0"/>
          <w:color w:val="333333"/>
          <w:sz w:val="22"/>
        </w:rPr>
        <w:t xml:space="preserve">Click the </w:t>
      </w:r>
      <w:r>
        <w:rPr>
          <w:rFonts w:ascii="Calibri" w:hAnsi="Calibri"/>
          <w:b/>
          <w:i w:val="0"/>
          <w:color w:val="333333"/>
          <w:sz w:val="22"/>
        </w:rPr>
        <w:t>Circle</w:t>
      </w:r>
      <w:r>
        <w:rPr>
          <w:rFonts w:ascii="Calibri" w:hAnsi="Calibri"/>
          <w:b w:val="0"/>
          <w:i w:val="0"/>
          <w:color w:val="333333"/>
          <w:sz w:val="22"/>
        </w:rPr>
        <w:t xml:space="preserve"> button in the bottom toolbar. It stays highlighted while the tool is active.</w:t>
      </w:r>
    </w:p>
    <w:p>
      <w:pPr>
        <w:spacing w:after="100"/>
        <w:ind w:left="490" w:hanging="490"/>
      </w:pPr>
      <w:r>
        <w:rPr>
          <w:rFonts w:ascii="Calibri" w:hAnsi="Calibri"/>
          <w:b/>
          <w:color w:val="16A34A"/>
          <w:sz w:val="22"/>
        </w:rPr>
        <w:t>2.</w:t>
        <w:tab/>
      </w:r>
      <w:r>
        <w:rPr>
          <w:rFonts w:ascii="Calibri" w:hAnsi="Calibri"/>
          <w:b w:val="0"/>
          <w:i w:val="0"/>
          <w:color w:val="333333"/>
          <w:sz w:val="22"/>
        </w:rPr>
        <w:t xml:space="preserve">Click once on the map at the </w:t>
      </w:r>
      <w:r>
        <w:rPr>
          <w:rFonts w:ascii="Calibri" w:hAnsi="Calibri"/>
          <w:b/>
          <w:i w:val="0"/>
          <w:color w:val="333333"/>
          <w:sz w:val="22"/>
        </w:rPr>
        <w:t>centre</w:t>
      </w:r>
      <w:r>
        <w:rPr>
          <w:rFonts w:ascii="Calibri" w:hAnsi="Calibri"/>
          <w:b w:val="0"/>
          <w:i w:val="0"/>
          <w:color w:val="333333"/>
          <w:sz w:val="22"/>
        </w:rPr>
        <w:t xml:space="preserve"> of your buffer — the point you are measuring from. Then release the mouse.</w:t>
      </w:r>
    </w:p>
    <w:p>
      <w:pPr>
        <w:spacing w:after="100"/>
        <w:ind w:left="490" w:hanging="490"/>
      </w:pPr>
      <w:r>
        <w:rPr>
          <w:rFonts w:ascii="Calibri" w:hAnsi="Calibri"/>
          <w:b/>
          <w:color w:val="16A34A"/>
          <w:sz w:val="22"/>
        </w:rPr>
        <w:t>3.</w:t>
        <w:tab/>
      </w:r>
      <w:r>
        <w:rPr>
          <w:rFonts w:ascii="Calibri" w:hAnsi="Calibri"/>
          <w:b w:val="0"/>
          <w:i w:val="0"/>
          <w:color w:val="333333"/>
          <w:sz w:val="22"/>
        </w:rPr>
        <w:t>Move the mouse outwards. The circle grows as you move, and a label follows the pointer showing the current radius and area.</w:t>
      </w:r>
    </w:p>
    <w:p>
      <w:pPr>
        <w:spacing w:after="100"/>
        <w:ind w:left="490" w:hanging="490"/>
      </w:pPr>
      <w:r>
        <w:rPr>
          <w:rFonts w:ascii="Calibri" w:hAnsi="Calibri"/>
          <w:b/>
          <w:color w:val="16A34A"/>
          <w:sz w:val="22"/>
        </w:rPr>
        <w:t>4.</w:t>
        <w:tab/>
      </w:r>
      <w:r>
        <w:rPr>
          <w:rFonts w:ascii="Calibri" w:hAnsi="Calibri"/>
          <w:b w:val="0"/>
          <w:i w:val="0"/>
          <w:color w:val="333333"/>
          <w:sz w:val="22"/>
        </w:rPr>
        <w:t>Click a second time when the radius is the distance you want. The circle is now finished.</w:t>
      </w:r>
    </w:p>
    <w:p>
      <w:pPr>
        <w:spacing w:after="120"/>
      </w:pPr>
      <w:r>
        <w:rPr>
          <w:rFonts w:ascii="Calibri" w:hAnsi="Calibri"/>
          <w:b/>
          <w:i w:val="0"/>
          <w:color w:val="333333"/>
          <w:sz w:val="22"/>
        </w:rPr>
        <w:t xml:space="preserve">On a phone or tablet: </w:t>
      </w:r>
      <w:r>
        <w:rPr>
          <w:rFonts w:ascii="Calibri" w:hAnsi="Calibri"/>
          <w:b w:val="0"/>
          <w:i w:val="0"/>
          <w:color w:val="333333"/>
          <w:sz w:val="22"/>
        </w:rPr>
        <w:t>tap once for the centre, then tap a second time at the edge. The same two-step gesture.</w:t>
      </w:r>
    </w:p>
    <w:p>
      <w:pPr>
        <w:spacing w:after="120"/>
      </w:pPr>
      <w:r>
        <w:rPr>
          <w:rFonts w:ascii="Calibri" w:hAnsi="Calibri"/>
          <w:b w:val="0"/>
          <w:i/>
          <w:color w:val="6B7280"/>
          <w:sz w:val="21"/>
        </w:rPr>
        <w:t>A short line is drawn from the centre to the edge after you finish. That is the radius line, there to make the circle easy to see — it is not a separate measurement.</w:t>
      </w: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EEF2FF"/>
          </w:tcPr>
          <w:p>
            <w:pPr>
              <w:spacing w:before="80" w:after="80"/>
            </w:pPr>
            <w:r/>
            <w:r>
              <w:rPr>
                <w:rFonts w:ascii="Calibri" w:hAnsi="Calibri"/>
                <w:b/>
                <w:color w:val="333333"/>
                <w:sz w:val="21"/>
              </w:rPr>
              <w:t xml:space="preserve">A finished measurement cannot be reshaped. </w:t>
            </w:r>
            <w:r>
              <w:rPr>
                <w:rFonts w:ascii="Calibri" w:hAnsi="Calibri"/>
                <w:b w:val="0"/>
                <w:color w:val="333333"/>
                <w:sz w:val="21"/>
              </w:rPr>
              <w:t xml:space="preserve">Earlier versions showed small round handles on the circle and its radius line while the Digitise tool was active, and dragging one quietly changed the shape without changing the radius and area reported — so the figures no longer matched the area being measured. Measurements are now read-only: no handles appear, and the numbers always describe the circle you drew. To measure something different, draw another circle, or press </w:t>
            </w:r>
            <w:r>
              <w:rPr>
                <w:rFonts w:ascii="Calibri" w:hAnsi="Calibri"/>
                <w:b/>
                <w:color w:val="333333"/>
                <w:sz w:val="21"/>
              </w:rPr>
              <w:t>Clear</w:t>
            </w:r>
            <w:r>
              <w:rPr>
                <w:rFonts w:ascii="Calibri" w:hAnsi="Calibri"/>
                <w:b w:val="0"/>
                <w:color w:val="333333"/>
                <w:sz w:val="21"/>
              </w:rPr>
              <w:t xml:space="preserve"> and start again.</w:t>
            </w:r>
          </w:p>
        </w:tc>
      </w:tr>
    </w:tbl>
    <w:p>
      <w:pPr>
        <w:spacing w:after="80"/>
      </w:pPr>
    </w:p>
    <w:p>
      <w:pPr>
        <w:pStyle w:val="berschrift1"/>
      </w:pPr>
      <w:r>
        <w:t>4. Reading the measurement</w:t>
      </w:r>
    </w:p>
    <w:p>
      <w:pPr>
        <w:spacing w:after="120"/>
      </w:pPr>
      <w:r>
        <w:rPr>
          <w:rFonts w:ascii="Calibri" w:hAnsi="Calibri"/>
          <w:b w:val="0"/>
          <w:i w:val="0"/>
          <w:color w:val="333333"/>
          <w:sz w:val="22"/>
        </w:rPr>
        <w:t>While you are drawing, and after you finish, the label shows two figures:</w:t>
      </w:r>
    </w:p>
    <w:p>
      <w:pPr>
        <w:spacing w:after="60"/>
        <w:ind w:left="403" w:hanging="259"/>
      </w:pPr>
      <w:r>
        <w:rPr>
          <w:rFonts w:ascii="Calibri" w:hAnsi="Calibri"/>
          <w:b/>
          <w:color w:val="1E1A4B"/>
          <w:sz w:val="22"/>
        </w:rPr>
        <w:t>•</w:t>
        <w:tab/>
      </w:r>
      <w:r>
        <w:rPr>
          <w:rFonts w:ascii="Calibri" w:hAnsi="Calibri"/>
          <w:b/>
          <w:i w:val="0"/>
          <w:color w:val="333333"/>
          <w:sz w:val="22"/>
        </w:rPr>
        <w:t>The radius</w:t>
      </w:r>
      <w:r>
        <w:rPr>
          <w:rFonts w:ascii="Calibri" w:hAnsi="Calibri"/>
          <w:b w:val="0"/>
          <w:i w:val="0"/>
          <w:color w:val="333333"/>
          <w:sz w:val="22"/>
        </w:rPr>
        <w:t xml:space="preserve"> (the larger, bold figure) — the distance from the centre to the edge of the circle.</w:t>
      </w:r>
    </w:p>
    <w:p>
      <w:pPr>
        <w:spacing w:after="60"/>
        <w:ind w:left="403" w:hanging="259"/>
      </w:pPr>
      <w:r>
        <w:rPr>
          <w:rFonts w:ascii="Calibri" w:hAnsi="Calibri"/>
          <w:b/>
          <w:color w:val="1E1A4B"/>
          <w:sz w:val="22"/>
        </w:rPr>
        <w:t>•</w:t>
        <w:tab/>
      </w:r>
      <w:r>
        <w:rPr>
          <w:rFonts w:ascii="Calibri" w:hAnsi="Calibri"/>
          <w:b/>
          <w:i w:val="0"/>
          <w:color w:val="333333"/>
          <w:sz w:val="22"/>
        </w:rPr>
        <w:t>The area</w:t>
      </w:r>
      <w:r>
        <w:rPr>
          <w:rFonts w:ascii="Calibri" w:hAnsi="Calibri"/>
          <w:b w:val="0"/>
          <w:i w:val="0"/>
          <w:color w:val="333333"/>
          <w:sz w:val="22"/>
        </w:rPr>
        <w:t xml:space="preserve"> (the smaller figure below) — the ground area the whole circle covers.</w:t>
      </w:r>
    </w:p>
    <w:p>
      <w:pPr>
        <w:spacing w:after="60"/>
      </w:pPr>
      <w:r>
        <w:rPr>
          <w:rFonts w:ascii="Calibri" w:hAnsi="Calibri"/>
          <w:b w:val="0"/>
          <w:i w:val="0"/>
          <w:color w:val="333333"/>
          <w:sz w:val="22"/>
        </w:rPr>
        <w:t xml:space="preserve">The units follow the </w:t>
      </w:r>
      <w:r>
        <w:rPr>
          <w:rFonts w:ascii="Calibri" w:hAnsi="Calibri"/>
          <w:b/>
          <w:i w:val="0"/>
          <w:color w:val="333333"/>
          <w:sz w:val="22"/>
        </w:rPr>
        <w:t>Measurement System</w:t>
      </w:r>
      <w:r>
        <w:rPr>
          <w:rFonts w:ascii="Calibri" w:hAnsi="Calibri"/>
          <w:b w:val="0"/>
          <w:i w:val="0"/>
          <w:color w:val="333333"/>
          <w:sz w:val="22"/>
        </w:rPr>
        <w:t xml:space="preserve"> setting in Settings:</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1872"/>
            <w:shd w:val="clear" w:fill="1E1A4B"/>
          </w:tcPr>
          <w:p>
            <w:pPr>
              <w:spacing w:after="20" w:before="20"/>
            </w:pPr>
            <w:r/>
            <w:r>
              <w:rPr>
                <w:rFonts w:ascii="Calibri" w:hAnsi="Calibri"/>
                <w:b/>
                <w:color w:val="FFFFFF"/>
                <w:sz w:val="20"/>
              </w:rPr>
              <w:t>Setting</w:t>
            </w:r>
          </w:p>
        </w:tc>
        <w:tc>
          <w:tcPr>
            <w:tcW w:type="dxa" w:w="4320"/>
            <w:shd w:val="clear" w:fill="1E1A4B"/>
          </w:tcPr>
          <w:p>
            <w:pPr>
              <w:spacing w:after="20" w:before="20"/>
            </w:pPr>
            <w:r/>
            <w:r>
              <w:rPr>
                <w:rFonts w:ascii="Calibri" w:hAnsi="Calibri"/>
                <w:b/>
                <w:color w:val="FFFFFF"/>
                <w:sz w:val="20"/>
              </w:rPr>
              <w:t>Radius shown as</w:t>
            </w:r>
          </w:p>
        </w:tc>
        <w:tc>
          <w:tcPr>
            <w:tcW w:type="dxa" w:w="3744"/>
            <w:shd w:val="clear" w:fill="1E1A4B"/>
          </w:tcPr>
          <w:p>
            <w:pPr>
              <w:spacing w:after="20" w:before="20"/>
            </w:pPr>
            <w:r/>
            <w:r>
              <w:rPr>
                <w:rFonts w:ascii="Calibri" w:hAnsi="Calibri"/>
                <w:b/>
                <w:color w:val="FFFFFF"/>
                <w:sz w:val="20"/>
              </w:rPr>
              <w:t>Area shown as</w:t>
            </w:r>
          </w:p>
        </w:tc>
      </w:tr>
      <w:tr>
        <w:trPr>
          <w:cantSplit/>
        </w:trPr>
        <w:tc>
          <w:tcPr>
            <w:tcW w:type="dxa" w:w="1872"/>
            <w:shd w:val="clear" w:fill="FFFFFF"/>
          </w:tcPr>
          <w:p>
            <w:pPr>
              <w:spacing w:after="20" w:before="20"/>
            </w:pPr>
            <w:r/>
            <w:r>
              <w:rPr>
                <w:rFonts w:ascii="Calibri" w:hAnsi="Calibri"/>
                <w:b/>
                <w:color w:val="333333"/>
                <w:sz w:val="19"/>
              </w:rPr>
              <w:t>Metric</w:t>
            </w:r>
          </w:p>
        </w:tc>
        <w:tc>
          <w:tcPr>
            <w:tcW w:type="dxa" w:w="4320"/>
            <w:shd w:val="clear" w:fill="FFFFFF"/>
          </w:tcPr>
          <w:p>
            <w:pPr>
              <w:spacing w:after="20" w:before="20"/>
            </w:pPr>
            <w:r/>
            <w:r>
              <w:rPr>
                <w:rFonts w:ascii="Calibri" w:hAnsi="Calibri"/>
                <w:b w:val="0"/>
                <w:color w:val="333333"/>
                <w:sz w:val="19"/>
              </w:rPr>
              <w:t>metres (m), or kilometres (km) for long distances</w:t>
            </w:r>
          </w:p>
        </w:tc>
        <w:tc>
          <w:tcPr>
            <w:tcW w:type="dxa" w:w="3744"/>
            <w:shd w:val="clear" w:fill="FFFFFF"/>
          </w:tcPr>
          <w:p>
            <w:pPr>
              <w:spacing w:after="20" w:before="20"/>
            </w:pPr>
            <w:r/>
            <w:r>
              <w:rPr>
                <w:rFonts w:ascii="Calibri" w:hAnsi="Calibri"/>
                <w:b w:val="0"/>
                <w:color w:val="333333"/>
                <w:sz w:val="19"/>
              </w:rPr>
              <w:t>m², or km² for large areas</w:t>
            </w:r>
          </w:p>
        </w:tc>
      </w:tr>
      <w:tr>
        <w:trPr>
          <w:cantSplit/>
        </w:trPr>
        <w:tc>
          <w:tcPr>
            <w:tcW w:type="dxa" w:w="1872"/>
            <w:shd w:val="clear" w:fill="F0F0F8"/>
          </w:tcPr>
          <w:p>
            <w:pPr>
              <w:spacing w:after="20" w:before="20"/>
            </w:pPr>
            <w:r/>
            <w:r>
              <w:rPr>
                <w:rFonts w:ascii="Calibri" w:hAnsi="Calibri"/>
                <w:b/>
                <w:color w:val="333333"/>
                <w:sz w:val="19"/>
              </w:rPr>
              <w:t>Imperial</w:t>
            </w:r>
          </w:p>
        </w:tc>
        <w:tc>
          <w:tcPr>
            <w:tcW w:type="dxa" w:w="4320"/>
            <w:shd w:val="clear" w:fill="F0F0F8"/>
          </w:tcPr>
          <w:p>
            <w:pPr>
              <w:spacing w:after="20" w:before="20"/>
            </w:pPr>
            <w:r/>
            <w:r>
              <w:rPr>
                <w:rFonts w:ascii="Calibri" w:hAnsi="Calibri"/>
                <w:b w:val="0"/>
                <w:color w:val="333333"/>
                <w:sz w:val="19"/>
              </w:rPr>
              <w:t>feet (ft), or miles (mi) for long distances</w:t>
            </w:r>
          </w:p>
        </w:tc>
        <w:tc>
          <w:tcPr>
            <w:tcW w:type="dxa" w:w="3744"/>
            <w:shd w:val="clear" w:fill="F0F0F8"/>
          </w:tcPr>
          <w:p>
            <w:pPr>
              <w:spacing w:after="20" w:before="20"/>
            </w:pPr>
            <w:r/>
            <w:r>
              <w:rPr>
                <w:rFonts w:ascii="Calibri" w:hAnsi="Calibri"/>
                <w:b w:val="0"/>
                <w:color w:val="333333"/>
                <w:sz w:val="19"/>
              </w:rPr>
              <w:t>ft², acres, or mi² for large areas</w:t>
            </w:r>
          </w:p>
        </w:tc>
      </w:tr>
    </w:tbl>
    <w:p>
      <w:pPr>
        <w:spacing w:after="80"/>
      </w:pP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EEF2FF"/>
          </w:tcPr>
          <w:p>
            <w:pPr>
              <w:spacing w:before="80" w:after="80"/>
            </w:pPr>
            <w:r/>
            <w:r>
              <w:rPr>
                <w:rFonts w:ascii="Calibri" w:hAnsi="Calibri"/>
                <w:b/>
                <w:color w:val="333333"/>
                <w:sz w:val="21"/>
              </w:rPr>
              <w:t xml:space="preserve">Setting the radius to an exact figure. </w:t>
            </w:r>
            <w:r>
              <w:rPr>
                <w:rFonts w:ascii="Calibri" w:hAnsi="Calibri"/>
                <w:b w:val="0"/>
                <w:color w:val="333333"/>
                <w:sz w:val="21"/>
              </w:rPr>
              <w:t>There is no box to type a radius into, so the distance is set by eye: move the pointer slowly and watch the label, then click when it reads the value you need. Zoom in first — the further in you are zoomed, the finer the control, so a 50 m buffer is far easier to hit accurately at street level than at district level.</w:t>
            </w:r>
          </w:p>
        </w:tc>
      </w:tr>
    </w:tbl>
    <w:p>
      <w:pPr>
        <w:spacing w:after="80"/>
      </w:pPr>
    </w:p>
    <w:p>
      <w:pPr>
        <w:pStyle w:val="berschrift1"/>
      </w:pPr>
      <w:r>
        <w:t>5. Seeing what falls inside the circle</w:t>
      </w:r>
    </w:p>
    <w:p>
      <w:pPr>
        <w:spacing w:after="120"/>
      </w:pPr>
      <w:r>
        <w:rPr>
          <w:rFonts w:ascii="Calibri" w:hAnsi="Calibri"/>
          <w:b w:val="0"/>
          <w:i w:val="0"/>
          <w:color w:val="333333"/>
          <w:sz w:val="22"/>
        </w:rPr>
        <w:t xml:space="preserve">This is the step most users miss. Once the circle is finished, </w:t>
      </w:r>
      <w:r>
        <w:rPr>
          <w:rFonts w:ascii="Calibri" w:hAnsi="Calibri"/>
          <w:b/>
          <w:i w:val="0"/>
          <w:color w:val="333333"/>
          <w:sz w:val="22"/>
        </w:rPr>
        <w:t>double-click anywhere inside it</w:t>
      </w:r>
      <w:r>
        <w:rPr>
          <w:rFonts w:ascii="Calibri" w:hAnsi="Calibri"/>
          <w:b w:val="0"/>
          <w:i w:val="0"/>
          <w:color w:val="333333"/>
          <w:sz w:val="22"/>
        </w:rPr>
        <w:t>. A panel opens listing everything the circle touches — parcels, zones and any other data layers you have switched on.</w:t>
      </w:r>
    </w:p>
    <w:p>
      <w:pPr>
        <w:spacing w:after="120"/>
      </w:pPr>
      <w:r>
        <w:rPr>
          <w:rFonts w:ascii="Calibri" w:hAnsi="Calibri"/>
          <w:b/>
          <w:i w:val="0"/>
          <w:color w:val="333333"/>
          <w:sz w:val="22"/>
        </w:rPr>
        <w:t xml:space="preserve">Double-click the circle itself, not the thin radius line. </w:t>
      </w:r>
      <w:r>
        <w:rPr>
          <w:rFonts w:ascii="Calibri" w:hAnsi="Calibri"/>
          <w:b w:val="0"/>
          <w:i w:val="0"/>
          <w:color w:val="333333"/>
          <w:sz w:val="22"/>
        </w:rPr>
        <w:t>Double-clicking the radius line does nothing at all, which can make it look as though the feature is broken.</w:t>
      </w:r>
    </w:p>
    <w:p>
      <w:pPr>
        <w:spacing w:after="60"/>
      </w:pPr>
      <w:r>
        <w:rPr>
          <w:rFonts w:ascii="Calibri" w:hAnsi="Calibri"/>
          <w:b w:val="0"/>
          <w:i w:val="0"/>
          <w:color w:val="333333"/>
          <w:sz w:val="22"/>
        </w:rPr>
        <w:t>From that panel you have two further options:</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4513"/>
        <w:gridCol w:w="4513"/>
      </w:tblGrid>
      <w:tr>
        <w:trPr>
          <w:tblHeader w:val="true"/>
        </w:trPr>
        <w:tc>
          <w:tcPr>
            <w:tcW w:type="dxa" w:w="1872"/>
            <w:shd w:val="clear" w:fill="1E1A4B"/>
          </w:tcPr>
          <w:p>
            <w:pPr>
              <w:spacing w:after="20" w:before="20"/>
            </w:pPr>
            <w:r/>
            <w:r>
              <w:rPr>
                <w:rFonts w:ascii="Calibri" w:hAnsi="Calibri"/>
                <w:b/>
                <w:color w:val="FFFFFF"/>
                <w:sz w:val="20"/>
              </w:rPr>
              <w:t>Button</w:t>
            </w:r>
          </w:p>
        </w:tc>
        <w:tc>
          <w:tcPr>
            <w:tcW w:type="dxa" w:w="8064"/>
            <w:shd w:val="clear" w:fill="1E1A4B"/>
          </w:tcPr>
          <w:p>
            <w:pPr>
              <w:spacing w:after="20" w:before="20"/>
            </w:pPr>
            <w:r/>
            <w:r>
              <w:rPr>
                <w:rFonts w:ascii="Calibri" w:hAnsi="Calibri"/>
                <w:b/>
                <w:color w:val="FFFFFF"/>
                <w:sz w:val="20"/>
              </w:rPr>
              <w:t>What it does</w:t>
            </w:r>
          </w:p>
        </w:tc>
      </w:tr>
      <w:tr>
        <w:trPr>
          <w:cantSplit/>
        </w:trPr>
        <w:tc>
          <w:tcPr>
            <w:tcW w:type="dxa" w:w="1872"/>
            <w:shd w:val="clear" w:fill="FFFFFF"/>
          </w:tcPr>
          <w:p>
            <w:pPr>
              <w:spacing w:after="20" w:before="20"/>
            </w:pPr>
            <w:r/>
            <w:r>
              <w:rPr>
                <w:rFonts w:ascii="Calibri" w:hAnsi="Calibri"/>
                <w:b/>
                <w:color w:val="333333"/>
                <w:sz w:val="19"/>
              </w:rPr>
              <w:t>Analyse</w:t>
            </w:r>
          </w:p>
        </w:tc>
        <w:tc>
          <w:tcPr>
            <w:tcW w:type="dxa" w:w="8064"/>
            <w:shd w:val="clear" w:fill="FFFFFF"/>
          </w:tcPr>
          <w:p>
            <w:pPr>
              <w:spacing w:after="20" w:before="20"/>
            </w:pPr>
            <w:r/>
            <w:r>
              <w:rPr>
                <w:rFonts w:ascii="Calibri" w:hAnsi="Calibri"/>
                <w:b w:val="0"/>
                <w:color w:val="333333"/>
                <w:sz w:val="19"/>
              </w:rPr>
              <w:t>Opens the Spatial Analysis panel with the scope already set to the features the circle caught — so overlays or zonal statistics run on just that area. See the Spatial Analysis user guide.</w:t>
            </w:r>
          </w:p>
        </w:tc>
      </w:tr>
      <w:tr>
        <w:trPr>
          <w:cantSplit/>
        </w:trPr>
        <w:tc>
          <w:tcPr>
            <w:tcW w:type="dxa" w:w="1872"/>
            <w:shd w:val="clear" w:fill="F0F0F8"/>
          </w:tcPr>
          <w:p>
            <w:pPr>
              <w:spacing w:after="20" w:before="20"/>
            </w:pPr>
            <w:r/>
            <w:r>
              <w:rPr>
                <w:rFonts w:ascii="Calibri" w:hAnsi="Calibri"/>
                <w:b/>
                <w:color w:val="333333"/>
                <w:sz w:val="19"/>
              </w:rPr>
              <w:t>Export</w:t>
            </w:r>
          </w:p>
        </w:tc>
        <w:tc>
          <w:tcPr>
            <w:tcW w:type="dxa" w:w="8064"/>
            <w:shd w:val="clear" w:fill="F0F0F8"/>
          </w:tcPr>
          <w:p>
            <w:pPr>
              <w:spacing w:after="20" w:before="20"/>
            </w:pPr>
            <w:r/>
            <w:r>
              <w:rPr>
                <w:rFonts w:ascii="Calibri" w:hAnsi="Calibri"/>
                <w:b w:val="0"/>
                <w:color w:val="333333"/>
                <w:sz w:val="19"/>
              </w:rPr>
              <w:t>Saves the intersecting features as GeoJSON, Shapefile or KML, or produces a PDF summary report of the figures.</w:t>
            </w:r>
          </w:p>
        </w:tc>
      </w:tr>
    </w:tbl>
    <w:p>
      <w:pPr>
        <w:spacing w:after="80"/>
      </w:pPr>
    </w:p>
    <w:p>
      <w:pPr>
        <w:pStyle w:val="berschrift1"/>
      </w:pPr>
      <w:r>
        <w:t>6. A worked example — what is within 200 m of this borehole?</w:t>
      </w:r>
    </w:p>
    <w:p>
      <w:pPr>
        <w:spacing w:after="100"/>
        <w:ind w:left="490" w:hanging="490"/>
      </w:pPr>
      <w:r>
        <w:rPr>
          <w:rFonts w:ascii="Calibri" w:hAnsi="Calibri"/>
          <w:b/>
          <w:color w:val="16A34A"/>
          <w:sz w:val="22"/>
        </w:rPr>
        <w:t>1.</w:t>
        <w:tab/>
      </w:r>
      <w:r>
        <w:rPr>
          <w:rFonts w:ascii="Calibri" w:hAnsi="Calibri"/>
          <w:b w:val="0"/>
          <w:i w:val="0"/>
          <w:color w:val="333333"/>
          <w:sz w:val="22"/>
        </w:rPr>
        <w:t>Switch on the layers you want to test against — Parcels, and any others of interest.</w:t>
      </w:r>
    </w:p>
    <w:p>
      <w:pPr>
        <w:spacing w:after="100"/>
        <w:ind w:left="490" w:hanging="490"/>
      </w:pPr>
      <w:r>
        <w:rPr>
          <w:rFonts w:ascii="Calibri" w:hAnsi="Calibri"/>
          <w:b/>
          <w:color w:val="16A34A"/>
          <w:sz w:val="22"/>
        </w:rPr>
        <w:t>2.</w:t>
        <w:tab/>
      </w:r>
      <w:r>
        <w:rPr>
          <w:rFonts w:ascii="Calibri" w:hAnsi="Calibri"/>
          <w:b w:val="0"/>
          <w:i w:val="0"/>
          <w:color w:val="333333"/>
          <w:sz w:val="22"/>
        </w:rPr>
        <w:t>Zoom in so the area of interest fills most of the screen. This makes the radius easier to set accurately.</w:t>
      </w:r>
    </w:p>
    <w:p>
      <w:pPr>
        <w:spacing w:after="100"/>
        <w:ind w:left="490" w:hanging="490"/>
      </w:pPr>
      <w:r>
        <w:rPr>
          <w:rFonts w:ascii="Calibri" w:hAnsi="Calibri"/>
          <w:b/>
          <w:color w:val="16A34A"/>
          <w:sz w:val="22"/>
        </w:rPr>
        <w:t>3.</w:t>
        <w:tab/>
      </w:r>
      <w:r>
        <w:rPr>
          <w:rFonts w:ascii="Calibri" w:hAnsi="Calibri"/>
          <w:b w:val="0"/>
          <w:i w:val="0"/>
          <w:color w:val="333333"/>
          <w:sz w:val="22"/>
        </w:rPr>
        <w:t xml:space="preserve">Click </w:t>
      </w:r>
      <w:r>
        <w:rPr>
          <w:rFonts w:ascii="Calibri" w:hAnsi="Calibri"/>
          <w:b/>
          <w:i w:val="0"/>
          <w:color w:val="333333"/>
          <w:sz w:val="22"/>
        </w:rPr>
        <w:t>Circle</w:t>
      </w:r>
      <w:r>
        <w:rPr>
          <w:rFonts w:ascii="Calibri" w:hAnsi="Calibri"/>
          <w:b w:val="0"/>
          <w:i w:val="0"/>
          <w:color w:val="333333"/>
          <w:sz w:val="22"/>
        </w:rPr>
        <w:t>, then click once on the borehole.</w:t>
      </w:r>
    </w:p>
    <w:p>
      <w:pPr>
        <w:spacing w:after="100"/>
        <w:ind w:left="490" w:hanging="490"/>
      </w:pPr>
      <w:r>
        <w:rPr>
          <w:rFonts w:ascii="Calibri" w:hAnsi="Calibri"/>
          <w:b/>
          <w:color w:val="16A34A"/>
          <w:sz w:val="22"/>
        </w:rPr>
        <w:t>4.</w:t>
        <w:tab/>
      </w:r>
      <w:r>
        <w:rPr>
          <w:rFonts w:ascii="Calibri" w:hAnsi="Calibri"/>
          <w:b w:val="0"/>
          <w:i w:val="0"/>
          <w:color w:val="333333"/>
          <w:sz w:val="22"/>
        </w:rPr>
        <w:t>Move outwards until the label reads about 200 m, then click again to finish.</w:t>
      </w:r>
    </w:p>
    <w:p>
      <w:pPr>
        <w:spacing w:after="100"/>
        <w:ind w:left="490" w:hanging="490"/>
      </w:pPr>
      <w:r>
        <w:rPr>
          <w:rFonts w:ascii="Calibri" w:hAnsi="Calibri"/>
          <w:b/>
          <w:color w:val="16A34A"/>
          <w:sz w:val="22"/>
        </w:rPr>
        <w:t>5.</w:t>
        <w:tab/>
      </w:r>
      <w:r>
        <w:rPr>
          <w:rFonts w:ascii="Calibri" w:hAnsi="Calibri"/>
          <w:b w:val="0"/>
          <w:i w:val="0"/>
          <w:color w:val="333333"/>
          <w:sz w:val="22"/>
        </w:rPr>
        <w:t>Double-click inside the circle. The panel lists the parcels and zones within 200 m.</w:t>
      </w:r>
    </w:p>
    <w:p>
      <w:pPr>
        <w:spacing w:after="100"/>
        <w:ind w:left="490" w:hanging="490"/>
      </w:pPr>
      <w:r>
        <w:rPr>
          <w:rFonts w:ascii="Calibri" w:hAnsi="Calibri"/>
          <w:b/>
          <w:color w:val="16A34A"/>
          <w:sz w:val="22"/>
        </w:rPr>
        <w:t>6.</w:t>
        <w:tab/>
      </w:r>
      <w:r>
        <w:rPr>
          <w:rFonts w:ascii="Calibri" w:hAnsi="Calibri"/>
          <w:b w:val="0"/>
          <w:i w:val="0"/>
          <w:color w:val="333333"/>
          <w:sz w:val="22"/>
        </w:rPr>
        <w:t xml:space="preserve">Click </w:t>
      </w:r>
      <w:r>
        <w:rPr>
          <w:rFonts w:ascii="Calibri" w:hAnsi="Calibri"/>
          <w:b/>
          <w:i w:val="0"/>
          <w:color w:val="333333"/>
          <w:sz w:val="22"/>
        </w:rPr>
        <w:t>Export</w:t>
      </w:r>
      <w:r>
        <w:rPr>
          <w:rFonts w:ascii="Calibri" w:hAnsi="Calibri"/>
          <w:b w:val="0"/>
          <w:i w:val="0"/>
          <w:color w:val="333333"/>
          <w:sz w:val="22"/>
        </w:rPr>
        <w:t xml:space="preserve"> to save the list, or </w:t>
      </w:r>
      <w:r>
        <w:rPr>
          <w:rFonts w:ascii="Calibri" w:hAnsi="Calibri"/>
          <w:b/>
          <w:i w:val="0"/>
          <w:color w:val="333333"/>
          <w:sz w:val="22"/>
        </w:rPr>
        <w:t>Analyse</w:t>
      </w:r>
      <w:r>
        <w:rPr>
          <w:rFonts w:ascii="Calibri" w:hAnsi="Calibri"/>
          <w:b w:val="0"/>
          <w:i w:val="0"/>
          <w:color w:val="333333"/>
          <w:sz w:val="22"/>
        </w:rPr>
        <w:t xml:space="preserve"> to summarise it further.</w:t>
      </w:r>
    </w:p>
    <w:p>
      <w:pPr>
        <w:pStyle w:val="berschrift1"/>
      </w:pPr>
      <w:r>
        <w:t>7. Removing circles</w:t>
      </w:r>
    </w:p>
    <w:p>
      <w:pPr>
        <w:spacing w:after="120"/>
      </w:pPr>
      <w:r>
        <w:rPr>
          <w:rFonts w:ascii="Calibri" w:hAnsi="Calibri"/>
          <w:b w:val="0"/>
          <w:i w:val="0"/>
          <w:color w:val="333333"/>
          <w:sz w:val="22"/>
        </w:rPr>
        <w:t xml:space="preserve">Circles stay on the map until you clear them, so you can draw several and compare. Use the </w:t>
      </w:r>
      <w:r>
        <w:rPr>
          <w:rFonts w:ascii="Calibri" w:hAnsi="Calibri"/>
          <w:b/>
          <w:i w:val="0"/>
          <w:color w:val="333333"/>
          <w:sz w:val="22"/>
        </w:rPr>
        <w:t>Clear</w:t>
      </w:r>
      <w:r>
        <w:rPr>
          <w:rFonts w:ascii="Calibri" w:hAnsi="Calibri"/>
          <w:b w:val="0"/>
          <w:i w:val="0"/>
          <w:color w:val="333333"/>
          <w:sz w:val="22"/>
        </w:rPr>
        <w:t xml:space="preserve"> button in the toolbar to remove all measurements at once.</w:t>
      </w:r>
    </w:p>
    <w:p>
      <w:pPr>
        <w:spacing w:after="120"/>
      </w:pPr>
      <w:r>
        <w:rPr>
          <w:rFonts w:ascii="Calibri" w:hAnsi="Calibri"/>
          <w:b w:val="0"/>
          <w:i w:val="0"/>
          <w:color w:val="6B7280"/>
          <w:sz w:val="21"/>
        </w:rPr>
        <w:t>Drawing a second circle does not remove the first. If the map becomes cluttered, clear everything and start again.</w:t>
      </w:r>
    </w:p>
    <w:p>
      <w:pPr>
        <w:pStyle w:val="berschrift1"/>
      </w:pPr>
      <w:r>
        <w:t>8. If something does not work</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3168"/>
            <w:shd w:val="clear" w:fill="1E1A4B"/>
          </w:tcPr>
          <w:p>
            <w:pPr>
              <w:spacing w:after="20" w:before="20"/>
            </w:pPr>
            <w:r/>
            <w:r>
              <w:rPr>
                <w:rFonts w:ascii="Calibri" w:hAnsi="Calibri"/>
                <w:b/>
                <w:color w:val="FFFFFF"/>
                <w:sz w:val="20"/>
              </w:rPr>
              <w:t>What you see</w:t>
            </w:r>
          </w:p>
        </w:tc>
        <w:tc>
          <w:tcPr>
            <w:tcW w:type="dxa" w:w="3456"/>
            <w:shd w:val="clear" w:fill="1E1A4B"/>
          </w:tcPr>
          <w:p>
            <w:pPr>
              <w:spacing w:after="20" w:before="20"/>
            </w:pPr>
            <w:r/>
            <w:r>
              <w:rPr>
                <w:rFonts w:ascii="Calibri" w:hAnsi="Calibri"/>
                <w:b/>
                <w:color w:val="FFFFFF"/>
                <w:sz w:val="20"/>
              </w:rPr>
              <w:t>Why</w:t>
            </w:r>
          </w:p>
        </w:tc>
        <w:tc>
          <w:tcPr>
            <w:tcW w:type="dxa" w:w="3312"/>
            <w:shd w:val="clear" w:fill="1E1A4B"/>
          </w:tcPr>
          <w:p>
            <w:pPr>
              <w:spacing w:after="20" w:before="20"/>
            </w:pPr>
            <w:r/>
            <w:r>
              <w:rPr>
                <w:rFonts w:ascii="Calibri" w:hAnsi="Calibri"/>
                <w:b/>
                <w:color w:val="FFFFFF"/>
                <w:sz w:val="20"/>
              </w:rPr>
              <w:t>What to do</w:t>
            </w:r>
          </w:p>
        </w:tc>
      </w:tr>
      <w:tr>
        <w:trPr>
          <w:cantSplit/>
        </w:trPr>
        <w:tc>
          <w:tcPr>
            <w:tcW w:type="dxa" w:w="3168"/>
            <w:shd w:val="clear" w:fill="FFFFFF"/>
          </w:tcPr>
          <w:p>
            <w:pPr>
              <w:spacing w:after="20" w:before="20"/>
            </w:pPr>
            <w:r/>
            <w:r>
              <w:rPr>
                <w:rFonts w:ascii="Calibri" w:hAnsi="Calibri"/>
                <w:b/>
                <w:color w:val="333333"/>
                <w:sz w:val="19"/>
              </w:rPr>
              <w:t>Nothing happens when you drag on the map</w:t>
            </w:r>
          </w:p>
        </w:tc>
        <w:tc>
          <w:tcPr>
            <w:tcW w:type="dxa" w:w="3456"/>
            <w:shd w:val="clear" w:fill="FFFFFF"/>
          </w:tcPr>
          <w:p>
            <w:pPr>
              <w:spacing w:after="20" w:before="20"/>
            </w:pPr>
            <w:r/>
            <w:r>
              <w:rPr>
                <w:rFonts w:ascii="Calibri" w:hAnsi="Calibri"/>
                <w:b w:val="0"/>
                <w:color w:val="333333"/>
                <w:sz w:val="19"/>
              </w:rPr>
              <w:t>The tool expects two clicks, not a drag. A drag pans the map instead.</w:t>
            </w:r>
          </w:p>
        </w:tc>
        <w:tc>
          <w:tcPr>
            <w:tcW w:type="dxa" w:w="3312"/>
            <w:shd w:val="clear" w:fill="FFFFFF"/>
          </w:tcPr>
          <w:p>
            <w:pPr>
              <w:spacing w:after="20" w:before="20"/>
            </w:pPr>
            <w:r/>
            <w:r>
              <w:rPr>
                <w:rFonts w:ascii="Calibri" w:hAnsi="Calibri"/>
                <w:b w:val="0"/>
                <w:color w:val="333333"/>
                <w:sz w:val="19"/>
              </w:rPr>
              <w:t>Click once for the centre, move, then click again</w:t>
            </w:r>
          </w:p>
        </w:tc>
      </w:tr>
      <w:tr>
        <w:trPr>
          <w:cantSplit/>
        </w:trPr>
        <w:tc>
          <w:tcPr>
            <w:tcW w:type="dxa" w:w="3168"/>
            <w:shd w:val="clear" w:fill="F0F0F8"/>
          </w:tcPr>
          <w:p>
            <w:pPr>
              <w:spacing w:after="20" w:before="20"/>
            </w:pPr>
            <w:r/>
            <w:r>
              <w:rPr>
                <w:rFonts w:ascii="Calibri" w:hAnsi="Calibri"/>
                <w:b/>
                <w:color w:val="333333"/>
                <w:sz w:val="19"/>
              </w:rPr>
              <w:t>You get a distance but no list of parcels</w:t>
            </w:r>
          </w:p>
        </w:tc>
        <w:tc>
          <w:tcPr>
            <w:tcW w:type="dxa" w:w="3456"/>
            <w:shd w:val="clear" w:fill="F0F0F8"/>
          </w:tcPr>
          <w:p>
            <w:pPr>
              <w:spacing w:after="20" w:before="20"/>
            </w:pPr>
            <w:r/>
            <w:r>
              <w:rPr>
                <w:rFonts w:ascii="Calibri" w:hAnsi="Calibri"/>
                <w:b w:val="0"/>
                <w:color w:val="333333"/>
                <w:sz w:val="19"/>
              </w:rPr>
              <w:t>The analysis only opens on a double-click</w:t>
            </w:r>
          </w:p>
        </w:tc>
        <w:tc>
          <w:tcPr>
            <w:tcW w:type="dxa" w:w="3312"/>
            <w:shd w:val="clear" w:fill="F0F0F8"/>
          </w:tcPr>
          <w:p>
            <w:pPr>
              <w:spacing w:after="20" w:before="20"/>
            </w:pPr>
            <w:r/>
            <w:r>
              <w:rPr>
                <w:rFonts w:ascii="Calibri" w:hAnsi="Calibri"/>
                <w:b w:val="0"/>
                <w:color w:val="333333"/>
                <w:sz w:val="19"/>
              </w:rPr>
              <w:t>Double-click inside the finished circle</w:t>
            </w:r>
          </w:p>
        </w:tc>
      </w:tr>
      <w:tr>
        <w:trPr>
          <w:cantSplit/>
        </w:trPr>
        <w:tc>
          <w:tcPr>
            <w:tcW w:type="dxa" w:w="3168"/>
            <w:shd w:val="clear" w:fill="FFFFFF"/>
          </w:tcPr>
          <w:p>
            <w:pPr>
              <w:spacing w:after="20" w:before="20"/>
            </w:pPr>
            <w:r/>
            <w:r>
              <w:rPr>
                <w:rFonts w:ascii="Calibri" w:hAnsi="Calibri"/>
                <w:b/>
                <w:color w:val="333333"/>
                <w:sz w:val="19"/>
              </w:rPr>
              <w:t>Double-clicking does nothing</w:t>
            </w:r>
          </w:p>
        </w:tc>
        <w:tc>
          <w:tcPr>
            <w:tcW w:type="dxa" w:w="3456"/>
            <w:shd w:val="clear" w:fill="FFFFFF"/>
          </w:tcPr>
          <w:p>
            <w:pPr>
              <w:spacing w:after="20" w:before="20"/>
            </w:pPr>
            <w:r/>
            <w:r>
              <w:rPr>
                <w:rFonts w:ascii="Calibri" w:hAnsi="Calibri"/>
                <w:b w:val="0"/>
                <w:color w:val="333333"/>
                <w:sz w:val="19"/>
              </w:rPr>
              <w:t>You may be double-clicking the thin radius line rather than the circle</w:t>
            </w:r>
          </w:p>
        </w:tc>
        <w:tc>
          <w:tcPr>
            <w:tcW w:type="dxa" w:w="3312"/>
            <w:shd w:val="clear" w:fill="FFFFFF"/>
          </w:tcPr>
          <w:p>
            <w:pPr>
              <w:spacing w:after="20" w:before="20"/>
            </w:pPr>
            <w:r/>
            <w:r>
              <w:rPr>
                <w:rFonts w:ascii="Calibri" w:hAnsi="Calibri"/>
                <w:b w:val="0"/>
                <w:color w:val="333333"/>
                <w:sz w:val="19"/>
              </w:rPr>
              <w:t>Double-click well inside the circle, away from the line</w:t>
            </w:r>
          </w:p>
        </w:tc>
      </w:tr>
      <w:tr>
        <w:trPr>
          <w:cantSplit/>
        </w:trPr>
        <w:tc>
          <w:tcPr>
            <w:tcW w:type="dxa" w:w="3168"/>
            <w:shd w:val="clear" w:fill="F0F0F8"/>
          </w:tcPr>
          <w:p>
            <w:pPr>
              <w:spacing w:after="20" w:before="20"/>
            </w:pPr>
            <w:r/>
            <w:r>
              <w:rPr>
                <w:rFonts w:ascii="Calibri" w:hAnsi="Calibri"/>
                <w:b/>
                <w:color w:val="333333"/>
                <w:sz w:val="19"/>
              </w:rPr>
              <w:t>The panel opens but lists nothing</w:t>
            </w:r>
          </w:p>
        </w:tc>
        <w:tc>
          <w:tcPr>
            <w:tcW w:type="dxa" w:w="3456"/>
            <w:shd w:val="clear" w:fill="F0F0F8"/>
          </w:tcPr>
          <w:p>
            <w:pPr>
              <w:spacing w:after="20" w:before="20"/>
            </w:pPr>
            <w:r/>
            <w:r>
              <w:rPr>
                <w:rFonts w:ascii="Calibri" w:hAnsi="Calibri"/>
                <w:b w:val="0"/>
                <w:color w:val="333333"/>
                <w:sz w:val="19"/>
              </w:rPr>
              <w:t>No features fall inside, or the layers are not loaded</w:t>
            </w:r>
          </w:p>
        </w:tc>
        <w:tc>
          <w:tcPr>
            <w:tcW w:type="dxa" w:w="3312"/>
            <w:shd w:val="clear" w:fill="F0F0F8"/>
          </w:tcPr>
          <w:p>
            <w:pPr>
              <w:spacing w:after="20" w:before="20"/>
            </w:pPr>
            <w:r/>
            <w:r>
              <w:rPr>
                <w:rFonts w:ascii="Calibri" w:hAnsi="Calibri"/>
                <w:b w:val="0"/>
                <w:color w:val="333333"/>
                <w:sz w:val="19"/>
              </w:rPr>
              <w:t>Switch on the layers you want to test and check they have loaded</w:t>
            </w:r>
          </w:p>
        </w:tc>
      </w:tr>
      <w:tr>
        <w:trPr>
          <w:cantSplit/>
        </w:trPr>
        <w:tc>
          <w:tcPr>
            <w:tcW w:type="dxa" w:w="3168"/>
            <w:shd w:val="clear" w:fill="FFFFFF"/>
          </w:tcPr>
          <w:p>
            <w:pPr>
              <w:spacing w:after="20" w:before="20"/>
            </w:pPr>
            <w:r/>
            <w:r>
              <w:rPr>
                <w:rFonts w:ascii="Calibri" w:hAnsi="Calibri"/>
                <w:b/>
                <w:color w:val="333333"/>
                <w:sz w:val="19"/>
              </w:rPr>
              <w:t>The radius is in feet, not metres</w:t>
            </w:r>
          </w:p>
        </w:tc>
        <w:tc>
          <w:tcPr>
            <w:tcW w:type="dxa" w:w="3456"/>
            <w:shd w:val="clear" w:fill="FFFFFF"/>
          </w:tcPr>
          <w:p>
            <w:pPr>
              <w:spacing w:after="20" w:before="20"/>
            </w:pPr>
            <w:r/>
            <w:r>
              <w:rPr>
                <w:rFonts w:ascii="Calibri" w:hAnsi="Calibri"/>
                <w:b w:val="0"/>
                <w:color w:val="333333"/>
                <w:sz w:val="19"/>
              </w:rPr>
              <w:t>The Measurement System is set to Imperial</w:t>
            </w:r>
          </w:p>
        </w:tc>
        <w:tc>
          <w:tcPr>
            <w:tcW w:type="dxa" w:w="3312"/>
            <w:shd w:val="clear" w:fill="FFFFFF"/>
          </w:tcPr>
          <w:p>
            <w:pPr>
              <w:spacing w:after="20" w:before="20"/>
            </w:pPr>
            <w:r/>
            <w:r>
              <w:rPr>
                <w:rFonts w:ascii="Calibri" w:hAnsi="Calibri"/>
                <w:b w:val="0"/>
                <w:color w:val="333333"/>
                <w:sz w:val="19"/>
              </w:rPr>
              <w:t>Settings → Measurement System → Metric</w:t>
            </w:r>
          </w:p>
        </w:tc>
      </w:tr>
      <w:tr>
        <w:trPr>
          <w:cantSplit/>
        </w:trPr>
        <w:tc>
          <w:tcPr>
            <w:tcW w:type="dxa" w:w="3168"/>
            <w:shd w:val="clear" w:fill="F0F0F8"/>
          </w:tcPr>
          <w:p>
            <w:pPr>
              <w:spacing w:after="20" w:before="20"/>
            </w:pPr>
            <w:r/>
            <w:r>
              <w:rPr>
                <w:rFonts w:ascii="Calibri" w:hAnsi="Calibri"/>
                <w:b/>
                <w:color w:val="333333"/>
                <w:sz w:val="19"/>
              </w:rPr>
              <w:t>The circle is hard to size accurately</w:t>
            </w:r>
          </w:p>
        </w:tc>
        <w:tc>
          <w:tcPr>
            <w:tcW w:type="dxa" w:w="3456"/>
            <w:shd w:val="clear" w:fill="F0F0F8"/>
          </w:tcPr>
          <w:p>
            <w:pPr>
              <w:spacing w:after="20" w:before="20"/>
            </w:pPr>
            <w:r/>
            <w:r>
              <w:rPr>
                <w:rFonts w:ascii="Calibri" w:hAnsi="Calibri"/>
                <w:b w:val="0"/>
                <w:color w:val="333333"/>
                <w:sz w:val="19"/>
              </w:rPr>
              <w:t>You are zoomed too far out, so each pixel covers a long distance</w:t>
            </w:r>
          </w:p>
        </w:tc>
        <w:tc>
          <w:tcPr>
            <w:tcW w:type="dxa" w:w="3312"/>
            <w:shd w:val="clear" w:fill="F0F0F8"/>
          </w:tcPr>
          <w:p>
            <w:pPr>
              <w:spacing w:after="20" w:before="20"/>
            </w:pPr>
            <w:r/>
            <w:r>
              <w:rPr>
                <w:rFonts w:ascii="Calibri" w:hAnsi="Calibri"/>
                <w:b w:val="0"/>
                <w:color w:val="333333"/>
                <w:sz w:val="19"/>
              </w:rPr>
              <w:t>Zoom in and draw again</w:t>
            </w:r>
          </w:p>
        </w:tc>
      </w:tr>
      <w:tr>
        <w:trPr>
          <w:cantSplit/>
        </w:trPr>
        <w:tc>
          <w:tcPr>
            <w:tcW w:type="dxa" w:w="3168"/>
            <w:shd w:val="clear" w:fill="FFFFFF"/>
          </w:tcPr>
          <w:p>
            <w:pPr>
              <w:spacing w:after="20" w:before="20"/>
            </w:pPr>
            <w:r/>
            <w:r>
              <w:rPr>
                <w:rFonts w:ascii="Calibri" w:hAnsi="Calibri"/>
                <w:b/>
                <w:color w:val="333333"/>
                <w:sz w:val="19"/>
              </w:rPr>
              <w:t>Old circles are cluttering the map</w:t>
            </w:r>
          </w:p>
        </w:tc>
        <w:tc>
          <w:tcPr>
            <w:tcW w:type="dxa" w:w="3456"/>
            <w:shd w:val="clear" w:fill="FFFFFF"/>
          </w:tcPr>
          <w:p>
            <w:pPr>
              <w:spacing w:after="20" w:before="20"/>
            </w:pPr>
            <w:r/>
            <w:r>
              <w:rPr>
                <w:rFonts w:ascii="Calibri" w:hAnsi="Calibri"/>
                <w:b w:val="0"/>
                <w:color w:val="333333"/>
                <w:sz w:val="19"/>
              </w:rPr>
              <w:t>Circles stay until cleared</w:t>
            </w:r>
          </w:p>
        </w:tc>
        <w:tc>
          <w:tcPr>
            <w:tcW w:type="dxa" w:w="3312"/>
            <w:shd w:val="clear" w:fill="FFFFFF"/>
          </w:tcPr>
          <w:p>
            <w:pPr>
              <w:spacing w:after="20" w:before="20"/>
            </w:pPr>
            <w:r/>
            <w:r>
              <w:rPr>
                <w:rFonts w:ascii="Calibri" w:hAnsi="Calibri"/>
                <w:b w:val="0"/>
                <w:color w:val="333333"/>
                <w:sz w:val="19"/>
              </w:rPr>
              <w:t>Press Clear in the toolbar</w:t>
            </w:r>
          </w:p>
        </w:tc>
      </w:tr>
      <w:tr>
        <w:trPr>
          <w:cantSplit/>
        </w:trPr>
        <w:tc>
          <w:tcPr>
            <w:tcW w:type="dxa" w:w="3168"/>
            <w:shd w:val="clear" w:fill="F0F0F8"/>
          </w:tcPr>
          <w:p>
            <w:pPr>
              <w:spacing w:after="20" w:before="20"/>
            </w:pPr>
            <w:r/>
            <w:r>
              <w:rPr>
                <w:rFonts w:ascii="Calibri" w:hAnsi="Calibri"/>
                <w:b/>
                <w:color w:val="333333"/>
                <w:sz w:val="19"/>
              </w:rPr>
              <w:t>You cannot drag or reshape a finished circle</w:t>
            </w:r>
          </w:p>
        </w:tc>
        <w:tc>
          <w:tcPr>
            <w:tcW w:type="dxa" w:w="3456"/>
            <w:shd w:val="clear" w:fill="F0F0F8"/>
          </w:tcPr>
          <w:p>
            <w:pPr>
              <w:spacing w:after="20" w:before="20"/>
            </w:pPr>
            <w:r/>
            <w:r>
              <w:rPr>
                <w:rFonts w:ascii="Calibri" w:hAnsi="Calibri"/>
                <w:b w:val="0"/>
                <w:color w:val="333333"/>
                <w:sz w:val="19"/>
              </w:rPr>
              <w:t>Measurements are read-only by design, so the figures always match the shape</w:t>
            </w:r>
          </w:p>
        </w:tc>
        <w:tc>
          <w:tcPr>
            <w:tcW w:type="dxa" w:w="3312"/>
            <w:shd w:val="clear" w:fill="F0F0F8"/>
          </w:tcPr>
          <w:p>
            <w:pPr>
              <w:spacing w:after="20" w:before="20"/>
            </w:pPr>
            <w:r/>
            <w:r>
              <w:rPr>
                <w:rFonts w:ascii="Calibri" w:hAnsi="Calibri"/>
                <w:b w:val="0"/>
                <w:color w:val="333333"/>
                <w:sz w:val="19"/>
              </w:rPr>
              <w:t>Draw a new circle at the size you need</w:t>
            </w:r>
          </w:p>
        </w:tc>
      </w:tr>
    </w:tbl>
    <w:p>
      <w:pPr>
        <w:spacing w:after="80"/>
      </w:pPr>
    </w:p>
    <w:p>
      <w:pPr>
        <w:pStyle w:val="berschrift1"/>
      </w:pPr>
      <w:r>
        <w:t>9. Quick reference</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4513"/>
        <w:gridCol w:w="4513"/>
      </w:tblGrid>
      <w:tr>
        <w:trPr>
          <w:tblHeader w:val="true"/>
        </w:trPr>
        <w:tc>
          <w:tcPr>
            <w:tcW w:type="dxa" w:w="3744"/>
            <w:shd w:val="clear" w:fill="1E1A4B"/>
          </w:tcPr>
          <w:p>
            <w:pPr>
              <w:spacing w:after="20" w:before="20"/>
            </w:pPr>
            <w:r/>
            <w:r>
              <w:rPr>
                <w:rFonts w:ascii="Calibri" w:hAnsi="Calibri"/>
                <w:b/>
                <w:color w:val="FFFFFF"/>
                <w:sz w:val="20"/>
              </w:rPr>
              <w:t>Task</w:t>
            </w:r>
          </w:p>
        </w:tc>
        <w:tc>
          <w:tcPr>
            <w:tcW w:type="dxa" w:w="6192"/>
            <w:shd w:val="clear" w:fill="1E1A4B"/>
          </w:tcPr>
          <w:p>
            <w:pPr>
              <w:spacing w:after="20" w:before="20"/>
            </w:pPr>
            <w:r/>
            <w:r>
              <w:rPr>
                <w:rFonts w:ascii="Calibri" w:hAnsi="Calibri"/>
                <w:b/>
                <w:color w:val="FFFFFF"/>
                <w:sz w:val="20"/>
              </w:rPr>
              <w:t>How</w:t>
            </w:r>
          </w:p>
        </w:tc>
      </w:tr>
      <w:tr>
        <w:trPr>
          <w:cantSplit/>
        </w:trPr>
        <w:tc>
          <w:tcPr>
            <w:tcW w:type="dxa" w:w="3744"/>
            <w:shd w:val="clear" w:fill="FFFFFF"/>
          </w:tcPr>
          <w:p>
            <w:pPr>
              <w:spacing w:after="20" w:before="20"/>
            </w:pPr>
            <w:r/>
            <w:r>
              <w:rPr>
                <w:rFonts w:ascii="Calibri" w:hAnsi="Calibri"/>
                <w:b/>
                <w:color w:val="333333"/>
                <w:sz w:val="19"/>
              </w:rPr>
              <w:t>Start a buffer</w:t>
            </w:r>
          </w:p>
        </w:tc>
        <w:tc>
          <w:tcPr>
            <w:tcW w:type="dxa" w:w="6192"/>
            <w:shd w:val="clear" w:fill="FFFFFF"/>
          </w:tcPr>
          <w:p>
            <w:pPr>
              <w:spacing w:after="20" w:before="20"/>
            </w:pPr>
            <w:r/>
            <w:r>
              <w:rPr>
                <w:rFonts w:ascii="Calibri" w:hAnsi="Calibri"/>
                <w:b w:val="0"/>
                <w:color w:val="333333"/>
                <w:sz w:val="19"/>
              </w:rPr>
              <w:t>Circle button in the bottom toolbar</w:t>
            </w:r>
          </w:p>
        </w:tc>
      </w:tr>
      <w:tr>
        <w:trPr>
          <w:cantSplit/>
        </w:trPr>
        <w:tc>
          <w:tcPr>
            <w:tcW w:type="dxa" w:w="3744"/>
            <w:shd w:val="clear" w:fill="F0F0F8"/>
          </w:tcPr>
          <w:p>
            <w:pPr>
              <w:spacing w:after="20" w:before="20"/>
            </w:pPr>
            <w:r/>
            <w:r>
              <w:rPr>
                <w:rFonts w:ascii="Calibri" w:hAnsi="Calibri"/>
                <w:b/>
                <w:color w:val="333333"/>
                <w:sz w:val="19"/>
              </w:rPr>
              <w:t>Set the centre</w:t>
            </w:r>
          </w:p>
        </w:tc>
        <w:tc>
          <w:tcPr>
            <w:tcW w:type="dxa" w:w="6192"/>
            <w:shd w:val="clear" w:fill="F0F0F8"/>
          </w:tcPr>
          <w:p>
            <w:pPr>
              <w:spacing w:after="20" w:before="20"/>
            </w:pPr>
            <w:r/>
            <w:r>
              <w:rPr>
                <w:rFonts w:ascii="Calibri" w:hAnsi="Calibri"/>
                <w:b w:val="0"/>
                <w:color w:val="333333"/>
                <w:sz w:val="19"/>
              </w:rPr>
              <w:t>Click once on the map</w:t>
            </w:r>
          </w:p>
        </w:tc>
      </w:tr>
      <w:tr>
        <w:trPr>
          <w:cantSplit/>
        </w:trPr>
        <w:tc>
          <w:tcPr>
            <w:tcW w:type="dxa" w:w="3744"/>
            <w:shd w:val="clear" w:fill="FFFFFF"/>
          </w:tcPr>
          <w:p>
            <w:pPr>
              <w:spacing w:after="20" w:before="20"/>
            </w:pPr>
            <w:r/>
            <w:r>
              <w:rPr>
                <w:rFonts w:ascii="Calibri" w:hAnsi="Calibri"/>
                <w:b/>
                <w:color w:val="333333"/>
                <w:sz w:val="19"/>
              </w:rPr>
              <w:t>Set the radius</w:t>
            </w:r>
          </w:p>
        </w:tc>
        <w:tc>
          <w:tcPr>
            <w:tcW w:type="dxa" w:w="6192"/>
            <w:shd w:val="clear" w:fill="FFFFFF"/>
          </w:tcPr>
          <w:p>
            <w:pPr>
              <w:spacing w:after="20" w:before="20"/>
            </w:pPr>
            <w:r/>
            <w:r>
              <w:rPr>
                <w:rFonts w:ascii="Calibri" w:hAnsi="Calibri"/>
                <w:b w:val="0"/>
                <w:color w:val="333333"/>
                <w:sz w:val="19"/>
              </w:rPr>
              <w:t>Move outwards, watch the label, click again</w:t>
            </w:r>
          </w:p>
        </w:tc>
      </w:tr>
      <w:tr>
        <w:trPr>
          <w:cantSplit/>
        </w:trPr>
        <w:tc>
          <w:tcPr>
            <w:tcW w:type="dxa" w:w="3744"/>
            <w:shd w:val="clear" w:fill="F0F0F8"/>
          </w:tcPr>
          <w:p>
            <w:pPr>
              <w:spacing w:after="20" w:before="20"/>
            </w:pPr>
            <w:r/>
            <w:r>
              <w:rPr>
                <w:rFonts w:ascii="Calibri" w:hAnsi="Calibri"/>
                <w:b/>
                <w:color w:val="333333"/>
                <w:sz w:val="19"/>
              </w:rPr>
              <w:t>Read the distance and area</w:t>
            </w:r>
          </w:p>
        </w:tc>
        <w:tc>
          <w:tcPr>
            <w:tcW w:type="dxa" w:w="6192"/>
            <w:shd w:val="clear" w:fill="F0F0F8"/>
          </w:tcPr>
          <w:p>
            <w:pPr>
              <w:spacing w:after="20" w:before="20"/>
            </w:pPr>
            <w:r/>
            <w:r>
              <w:rPr>
                <w:rFonts w:ascii="Calibri" w:hAnsi="Calibri"/>
                <w:b w:val="0"/>
                <w:color w:val="333333"/>
                <w:sz w:val="19"/>
              </w:rPr>
              <w:t>The label on the circle</w:t>
            </w:r>
          </w:p>
        </w:tc>
      </w:tr>
      <w:tr>
        <w:trPr>
          <w:cantSplit/>
        </w:trPr>
        <w:tc>
          <w:tcPr>
            <w:tcW w:type="dxa" w:w="3744"/>
            <w:shd w:val="clear" w:fill="FFFFFF"/>
          </w:tcPr>
          <w:p>
            <w:pPr>
              <w:spacing w:after="20" w:before="20"/>
            </w:pPr>
            <w:r/>
            <w:r>
              <w:rPr>
                <w:rFonts w:ascii="Calibri" w:hAnsi="Calibri"/>
                <w:b/>
                <w:color w:val="333333"/>
                <w:sz w:val="19"/>
              </w:rPr>
              <w:t>See what is inside</w:t>
            </w:r>
          </w:p>
        </w:tc>
        <w:tc>
          <w:tcPr>
            <w:tcW w:type="dxa" w:w="6192"/>
            <w:shd w:val="clear" w:fill="FFFFFF"/>
          </w:tcPr>
          <w:p>
            <w:pPr>
              <w:spacing w:after="20" w:before="20"/>
            </w:pPr>
            <w:r/>
            <w:r>
              <w:rPr>
                <w:rFonts w:ascii="Calibri" w:hAnsi="Calibri"/>
                <w:b w:val="0"/>
                <w:color w:val="333333"/>
                <w:sz w:val="19"/>
              </w:rPr>
              <w:t>Double-click inside the circle</w:t>
            </w:r>
          </w:p>
        </w:tc>
      </w:tr>
      <w:tr>
        <w:trPr>
          <w:cantSplit/>
        </w:trPr>
        <w:tc>
          <w:tcPr>
            <w:tcW w:type="dxa" w:w="3744"/>
            <w:shd w:val="clear" w:fill="F0F0F8"/>
          </w:tcPr>
          <w:p>
            <w:pPr>
              <w:spacing w:after="20" w:before="20"/>
            </w:pPr>
            <w:r/>
            <w:r>
              <w:rPr>
                <w:rFonts w:ascii="Calibri" w:hAnsi="Calibri"/>
                <w:b/>
                <w:color w:val="333333"/>
                <w:sz w:val="19"/>
              </w:rPr>
              <w:t>Analyse what is inside</w:t>
            </w:r>
          </w:p>
        </w:tc>
        <w:tc>
          <w:tcPr>
            <w:tcW w:type="dxa" w:w="6192"/>
            <w:shd w:val="clear" w:fill="F0F0F8"/>
          </w:tcPr>
          <w:p>
            <w:pPr>
              <w:spacing w:after="20" w:before="20"/>
            </w:pPr>
            <w:r/>
            <w:r>
              <w:rPr>
                <w:rFonts w:ascii="Calibri" w:hAnsi="Calibri"/>
                <w:b w:val="0"/>
                <w:color w:val="333333"/>
                <w:sz w:val="19"/>
              </w:rPr>
              <w:t>Analyse in that panel</w:t>
            </w:r>
          </w:p>
        </w:tc>
      </w:tr>
      <w:tr>
        <w:trPr>
          <w:cantSplit/>
        </w:trPr>
        <w:tc>
          <w:tcPr>
            <w:tcW w:type="dxa" w:w="3744"/>
            <w:shd w:val="clear" w:fill="FFFFFF"/>
          </w:tcPr>
          <w:p>
            <w:pPr>
              <w:spacing w:after="20" w:before="20"/>
            </w:pPr>
            <w:r/>
            <w:r>
              <w:rPr>
                <w:rFonts w:ascii="Calibri" w:hAnsi="Calibri"/>
                <w:b/>
                <w:color w:val="333333"/>
                <w:sz w:val="19"/>
              </w:rPr>
              <w:t>Save what is inside</w:t>
            </w:r>
          </w:p>
        </w:tc>
        <w:tc>
          <w:tcPr>
            <w:tcW w:type="dxa" w:w="6192"/>
            <w:shd w:val="clear" w:fill="FFFFFF"/>
          </w:tcPr>
          <w:p>
            <w:pPr>
              <w:spacing w:after="20" w:before="20"/>
            </w:pPr>
            <w:r/>
            <w:r>
              <w:rPr>
                <w:rFonts w:ascii="Calibri" w:hAnsi="Calibri"/>
                <w:b w:val="0"/>
                <w:color w:val="333333"/>
                <w:sz w:val="19"/>
              </w:rPr>
              <w:t>Export in that panel</w:t>
            </w:r>
          </w:p>
        </w:tc>
      </w:tr>
      <w:tr>
        <w:trPr>
          <w:cantSplit/>
        </w:trPr>
        <w:tc>
          <w:tcPr>
            <w:tcW w:type="dxa" w:w="3744"/>
            <w:shd w:val="clear" w:fill="F0F0F8"/>
          </w:tcPr>
          <w:p>
            <w:pPr>
              <w:spacing w:after="20" w:before="20"/>
            </w:pPr>
            <w:r/>
            <w:r>
              <w:rPr>
                <w:rFonts w:ascii="Calibri" w:hAnsi="Calibri"/>
                <w:b/>
                <w:color w:val="333333"/>
                <w:sz w:val="19"/>
              </w:rPr>
              <w:t>Change the units</w:t>
            </w:r>
          </w:p>
        </w:tc>
        <w:tc>
          <w:tcPr>
            <w:tcW w:type="dxa" w:w="6192"/>
            <w:shd w:val="clear" w:fill="F0F0F8"/>
          </w:tcPr>
          <w:p>
            <w:pPr>
              <w:spacing w:after="20" w:before="20"/>
            </w:pPr>
            <w:r/>
            <w:r>
              <w:rPr>
                <w:rFonts w:ascii="Calibri" w:hAnsi="Calibri"/>
                <w:b w:val="0"/>
                <w:color w:val="333333"/>
                <w:sz w:val="19"/>
              </w:rPr>
              <w:t>Settings → Measurement System</w:t>
            </w:r>
          </w:p>
        </w:tc>
      </w:tr>
      <w:tr>
        <w:trPr>
          <w:cantSplit/>
        </w:trPr>
        <w:tc>
          <w:tcPr>
            <w:tcW w:type="dxa" w:w="3744"/>
            <w:shd w:val="clear" w:fill="FFFFFF"/>
          </w:tcPr>
          <w:p>
            <w:pPr>
              <w:spacing w:after="20" w:before="20"/>
            </w:pPr>
            <w:r/>
            <w:r>
              <w:rPr>
                <w:rFonts w:ascii="Calibri" w:hAnsi="Calibri"/>
                <w:b/>
                <w:color w:val="333333"/>
                <w:sz w:val="19"/>
              </w:rPr>
              <w:t>Remove the circles</w:t>
            </w:r>
          </w:p>
        </w:tc>
        <w:tc>
          <w:tcPr>
            <w:tcW w:type="dxa" w:w="6192"/>
            <w:shd w:val="clear" w:fill="FFFFFF"/>
          </w:tcPr>
          <w:p>
            <w:pPr>
              <w:spacing w:after="20" w:before="20"/>
            </w:pPr>
            <w:r/>
            <w:r>
              <w:rPr>
                <w:rFonts w:ascii="Calibri" w:hAnsi="Calibri"/>
                <w:b w:val="0"/>
                <w:color w:val="333333"/>
                <w:sz w:val="19"/>
              </w:rPr>
              <w:t>Clear in the toolbar</w:t>
            </w:r>
          </w:p>
        </w:tc>
      </w:tr>
    </w:tbl>
    <w:p>
      <w:pPr>
        <w:spacing w:after="80"/>
      </w:pPr>
    </w:p>
    <w:p>
      <w:pPr>
        <w:pStyle w:val="berschrift1"/>
        <w:keepNext/>
      </w:pPr>
      <w:r>
        <w:t>10. Related documents</w:t>
      </w:r>
    </w:p>
    <w:p>
      <w:pPr>
        <w:keepNext/>
        <w:spacing w:after="200"/>
      </w:pPr>
      <w:r>
        <w:rPr>
          <w:rFonts w:ascii="Calibri" w:hAnsi="Calibri"/>
          <w:color w:val="6B7280"/>
          <w:sz w:val="20"/>
        </w:rPr>
        <w:t>This guide is one of a set. The manual is the place to start; the guides go deeper on one tool each.</w:t>
      </w:r>
    </w:p>
    <w:p>
      <w:pPr>
        <w:keepNext/>
        <w:spacing w:after="60"/>
        <w:ind w:left="403" w:hanging="259"/>
      </w:pPr>
      <w:r>
        <w:rPr>
          <w:rFonts w:ascii="Calibri" w:hAnsi="Calibri"/>
          <w:b/>
          <w:color w:val="1E1A4B"/>
          <w:sz w:val="20"/>
        </w:rPr>
        <w:t>•</w:t>
        <w:tab/>
      </w:r>
      <w:r>
        <w:rPr>
          <w:rFonts w:ascii="Calibri" w:hAnsi="Calibri"/>
          <w:b/>
          <w:color w:val="6B7280"/>
          <w:sz w:val="20"/>
        </w:rPr>
        <w:t>LUPMIS2 User Manual — Part 1: Core Map Tools</w:t>
      </w:r>
      <w:r>
        <w:rPr>
          <w:rFonts w:ascii="Calibri" w:hAnsi="Calibri"/>
          <w:color w:val="6B7280"/>
          <w:sz w:val="20"/>
        </w:rPr>
        <w:t xml:space="preserve"> — the map, layers, locations, measuring, exporting and working offline. Section 8 covers all three measuring tools; this guide is the detail behind the Circle.</w:t>
      </w:r>
    </w:p>
    <w:p>
      <w:pPr>
        <w:spacing w:after="60"/>
        <w:ind w:left="403" w:hanging="259"/>
      </w:pPr>
      <w:r>
        <w:rPr>
          <w:rFonts w:ascii="Calibri" w:hAnsi="Calibri"/>
          <w:b/>
          <w:color w:val="1E1A4B"/>
          <w:sz w:val="20"/>
        </w:rPr>
        <w:t>•</w:t>
        <w:tab/>
      </w:r>
      <w:r>
        <w:rPr>
          <w:rFonts w:ascii="Calibri" w:hAnsi="Calibri"/>
          <w:b/>
          <w:color w:val="6B7280"/>
          <w:sz w:val="20"/>
        </w:rPr>
        <w:t>Spatial Analysis (Analyse) — User Guide</w:t>
      </w:r>
      <w:r>
        <w:rPr>
          <w:rFonts w:ascii="Calibri" w:hAnsi="Calibri"/>
          <w:color w:val="6B7280"/>
          <w:sz w:val="20"/>
        </w:rPr>
        <w:t xml:space="preserve"> — what to do with the features a circle catches: overlays and zonal statistics.</w:t>
      </w:r>
    </w:p>
    <w:sectPr w:rsidR="0032655B">
      <w:headerReference w:type="default" r:id="rId13"/>
      <w:footerReference w:type="default" r:id="rId1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F189B0" w14:textId="77777777" w:rsidR="00AE2CBB" w:rsidRDefault="00AE2CBB">
      <w:r>
        <w:separator/>
      </w:r>
    </w:p>
  </w:endnote>
  <w:endnote w:type="continuationSeparator" w:id="0">
    <w:p w14:paraId="2F99AFCD" w14:textId="77777777" w:rsidR="00AE2CBB" w:rsidRDefault="00AE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CC"/>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BM Plex Sans">
    <w:panose1 w:val="020B0503050000000000"/>
    <w:charset w:val="4D"/>
    <w:family w:val="swiss"/>
    <w:notTrueType/>
    <w:pitch w:val="variable"/>
    <w:sig w:usb0="A000006F" w:usb1="5000207B" w:usb2="00000000" w:usb3="00000000" w:csb0="0000019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7F55E0" w14:textId="77777777" w:rsidR="007225A5" w:rsidRDefault="00FF00D1">
    <w:pPr>
      <w:pBdr>
        <w:top w:val="single" w:sz="1" w:space="4" w:color="CCCCCC"/>
      </w:pBdr>
      <w:jc w:val="center"/>
    </w:pPr>
    <w:proofErr w:type="gramStart"/>
    <w:r>
      <w:rPr>
        <w:color w:val="999999"/>
        <w:sz w:val="16"/>
        <w:szCs w:val="16"/>
      </w:rPr>
      <w:t>GOPA</w:t>
    </w:r>
    <w:r w:rsidR="002B6AA5">
      <w:rPr>
        <w:color w:val="999999"/>
        <w:sz w:val="16"/>
        <w:szCs w:val="16"/>
      </w:rPr>
      <w:t xml:space="preserve">  |</w:t>
    </w:r>
    <w:proofErr w:type="gramEnd"/>
    <w:r w:rsidR="002B6AA5">
      <w:rPr>
        <w:color w:val="999999"/>
        <w:sz w:val="16"/>
        <w:szCs w:val="16"/>
      </w:rPr>
      <w:t xml:space="preserve">  LUPMIS2 Buffer Tool Guide </w:t>
    </w:r>
    <w:proofErr w:type="gramStart"/>
    <w:r w:rsidR="002B6AA5">
      <w:rPr>
        <w:color w:val="999999"/>
        <w:sz w:val="16"/>
        <w:szCs w:val="16"/>
      </w:rPr>
      <w:t>Report  |</w:t>
    </w:r>
    <w:proofErr w:type="gramEnd"/>
    <w:r w:rsidR="002B6AA5">
      <w:rPr>
        <w:color w:val="999999"/>
        <w:sz w:val="16"/>
        <w:szCs w:val="16"/>
      </w:rPr>
      <w:t xml:space="preserve">  Page </w:t>
    </w:r>
    <w:r w:rsidR="002B6AA5">
      <w:rPr>
        <w:color w:val="999999"/>
        <w:sz w:val="16"/>
        <w:szCs w:val="16"/>
      </w:rPr>
      <w:fldChar w:fldCharType="begin"/>
    </w:r>
    <w:r w:rsidR="002B6AA5">
      <w:rPr>
        <w:color w:val="999999"/>
        <w:sz w:val="16"/>
        <w:szCs w:val="16"/>
      </w:rPr>
      <w:instrText>PAGE</w:instrText>
    </w:r>
    <w:r w:rsidR="002B6AA5">
      <w:rPr>
        <w:color w:val="999999"/>
        <w:sz w:val="16"/>
        <w:szCs w:val="16"/>
      </w:rPr>
      <w:fldChar w:fldCharType="separate"/>
    </w:r>
    <w:r w:rsidR="00E124F3">
      <w:rPr>
        <w:noProof/>
        <w:color w:val="999999"/>
        <w:sz w:val="16"/>
        <w:szCs w:val="16"/>
      </w:rPr>
      <w:t>2</w:t>
    </w:r>
    <w:r w:rsidR="002B6AA5">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858AA1" w14:textId="77777777" w:rsidR="00AE2CBB" w:rsidRDefault="00AE2CBB">
      <w:r>
        <w:separator/>
      </w:r>
    </w:p>
  </w:footnote>
  <w:footnote w:type="continuationSeparator" w:id="0">
    <w:p w14:paraId="2D2B7F7F" w14:textId="77777777" w:rsidR="00AE2CBB" w:rsidRDefault="00AE2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9BCA0B" w14:textId="77777777" w:rsidR="00FF00D1" w:rsidRDefault="00FF00D1" w:rsidP="00FF00D1">
    <w:pPr>
      <w:pStyle w:val="Kopfzeile"/>
    </w:pPr>
    <w:r>
      <w:rPr>
        <w:rFonts w:ascii="IBM Plex Sans" w:hAnsi="IBM Plex Sans"/>
        <w:noProof/>
      </w:rPr>
      <w:drawing>
        <wp:anchor distT="0" distB="0" distL="114300" distR="114300" simplePos="0" relativeHeight="251659264" behindDoc="0" locked="0" layoutInCell="1" allowOverlap="1" wp14:anchorId="50EF76EE" wp14:editId="0DB2641A">
          <wp:simplePos x="0" y="0"/>
          <wp:positionH relativeFrom="column">
            <wp:posOffset>-82955</wp:posOffset>
          </wp:positionH>
          <wp:positionV relativeFrom="paragraph">
            <wp:posOffset>182534</wp:posOffset>
          </wp:positionV>
          <wp:extent cx="1247775" cy="554355"/>
          <wp:effectExtent l="0" t="0" r="0" b="4445"/>
          <wp:wrapNone/>
          <wp:docPr id="19210444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44471" name="Grafik 1921044471"/>
                  <pic:cNvPicPr/>
                </pic:nvPicPr>
                <pic:blipFill>
                  <a:blip r:embed="rId1">
                    <a:extLst>
                      <a:ext uri="{28A0092B-C50C-407E-A947-70E740481C1C}">
                        <a14:useLocalDpi xmlns:a14="http://schemas.microsoft.com/office/drawing/2010/main" val="0"/>
                      </a:ext>
                    </a:extLst>
                  </a:blip>
                  <a:stretch>
                    <a:fillRect/>
                  </a:stretch>
                </pic:blipFill>
                <pic:spPr>
                  <a:xfrm>
                    <a:off x="0" y="0"/>
                    <a:ext cx="1247775" cy="554355"/>
                  </a:xfrm>
                  <a:prstGeom prst="rect">
                    <a:avLst/>
                  </a:prstGeom>
                </pic:spPr>
              </pic:pic>
            </a:graphicData>
          </a:graphic>
          <wp14:sizeRelH relativeFrom="margin">
            <wp14:pctWidth>0</wp14:pctWidth>
          </wp14:sizeRelH>
          <wp14:sizeRelV relativeFrom="margin">
            <wp14:pctHeight>0</wp14:pctHeight>
          </wp14:sizeRelV>
        </wp:anchor>
      </w:drawing>
    </w:r>
  </w:p>
  <w:tbl>
    <w:tblPr>
      <w:tblW w:w="7087" w:type="dxa"/>
      <w:tblInd w:w="19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11"/>
      <w:gridCol w:w="2976"/>
    </w:tblGrid>
    <w:tr w:rsidR="00FF00D1" w14:paraId="2A20D306" w14:textId="77777777" w:rsidTr="009A2347">
      <w:tc>
        <w:tcPr>
          <w:tcW w:w="4111" w:type="dxa"/>
        </w:tcPr>
        <w:p w14:paraId="69A2E7D4" w14:textId="77777777" w:rsidR="00FF00D1" w:rsidRDefault="00FF00D1" w:rsidP="00FF00D1">
          <w:r>
            <w:fldChar w:fldCharType="begin"/>
          </w:r>
          <w:r>
            <w:instrText xml:space="preserve"> SUBJECT  \* MERGEFORMAT </w:instrText>
          </w:r>
          <w:r>
            <w:fldChar w:fldCharType="end"/>
          </w:r>
        </w:p>
      </w:tc>
      <w:tc>
        <w:tcPr>
          <w:tcW w:w="2976" w:type="dxa"/>
        </w:tcPr>
        <w:p w14:paraId="29A49625" w14:textId="77777777" w:rsidR="00FF00D1" w:rsidRDefault="00FF00D1" w:rsidP="00FF00D1">
          <w:pPr>
            <w:tabs>
              <w:tab w:val="left" w:pos="1135"/>
            </w:tabs>
            <w:spacing w:before="40"/>
            <w:ind w:right="68"/>
          </w:pPr>
          <w:r>
            <w:t xml:space="preserve">  Version:           &lt;1.0&gt;</w:t>
          </w:r>
        </w:p>
      </w:tc>
    </w:tr>
    <w:tr w:rsidR="00FF00D1" w14:paraId="6F494568" w14:textId="77777777" w:rsidTr="009A2347">
      <w:tc>
        <w:tcPr>
          <w:tcW w:w="4111" w:type="dxa"/>
        </w:tcPr>
        <w:p w14:paraId="484C4EE4" w14:textId="77777777" w:rsidR="00FF00D1" w:rsidRPr="00FF00D1" w:rsidRDefault="00FF00D1" w:rsidP="00FF00D1">
          <w:pPr>
            <w:rPr>
              <w:sz w:val="20"/>
              <w:szCs w:val="20"/>
            </w:rPr>
          </w:pPr>
          <w:r w:rsidRPr="00FF00D1">
            <w:rPr>
              <w:i/>
              <w:iCs/>
              <w:color w:val="999999"/>
              <w:sz w:val="20"/>
              <w:szCs w:val="20"/>
            </w:rPr>
            <w:t>LUPMIS2 Buffer (Circle) Tool — User Guide</w:t>
          </w:r>
        </w:p>
        <w:p w14:paraId="327B6622" w14:textId="77777777" w:rsidR="00FF00D1" w:rsidRDefault="00FF00D1" w:rsidP="00FF00D1"/>
      </w:tc>
      <w:tc>
        <w:tcPr>
          <w:tcW w:w="2976" w:type="dxa"/>
        </w:tcPr>
        <w:p w14:paraId="4309F002" w14:textId="77777777" w:rsidR="00FF00D1" w:rsidRDefault="00FF00D1" w:rsidP="00FF00D1"/>
      </w:tc>
    </w:tr>
  </w:tbl>
  <w:p w14:paraId="68F887F6" w14:textId="77777777" w:rsidR="007225A5" w:rsidRDefault="007225A5" w:rsidP="00FF00D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D14E62"/>
    <w:multiLevelType w:val="hybridMultilevel"/>
    <w:tmpl w:val="75CE0176"/>
    <w:lvl w:ilvl="0" w:tplc="8F1A652A">
      <w:start w:val="1"/>
      <w:numFmt w:val="bullet"/>
      <w:lvlText w:val="•"/>
      <w:lvlJc w:val="left"/>
      <w:pPr>
        <w:ind w:left="720" w:hanging="360"/>
      </w:pPr>
    </w:lvl>
    <w:lvl w:ilvl="1" w:tplc="8B8ACFE2">
      <w:numFmt w:val="decimal"/>
      <w:lvlText w:val=""/>
      <w:lvlJc w:val="left"/>
    </w:lvl>
    <w:lvl w:ilvl="2" w:tplc="D1D6877E">
      <w:numFmt w:val="decimal"/>
      <w:lvlText w:val=""/>
      <w:lvlJc w:val="left"/>
    </w:lvl>
    <w:lvl w:ilvl="3" w:tplc="5044C660">
      <w:numFmt w:val="decimal"/>
      <w:lvlText w:val=""/>
      <w:lvlJc w:val="left"/>
    </w:lvl>
    <w:lvl w:ilvl="4" w:tplc="E058533C">
      <w:numFmt w:val="decimal"/>
      <w:lvlText w:val=""/>
      <w:lvlJc w:val="left"/>
    </w:lvl>
    <w:lvl w:ilvl="5" w:tplc="A014B8E6">
      <w:numFmt w:val="decimal"/>
      <w:lvlText w:val=""/>
      <w:lvlJc w:val="left"/>
    </w:lvl>
    <w:lvl w:ilvl="6" w:tplc="F3C2F5A8">
      <w:numFmt w:val="decimal"/>
      <w:lvlText w:val=""/>
      <w:lvlJc w:val="left"/>
    </w:lvl>
    <w:lvl w:ilvl="7" w:tplc="CCCEA62E">
      <w:numFmt w:val="decimal"/>
      <w:lvlText w:val=""/>
      <w:lvlJc w:val="left"/>
    </w:lvl>
    <w:lvl w:ilvl="8" w:tplc="CFA44C4E">
      <w:numFmt w:val="decimal"/>
      <w:lvlText w:val=""/>
      <w:lvlJc w:val="left"/>
    </w:lvl>
  </w:abstractNum>
  <w:abstractNum w:abstractNumId="1" w15:restartNumberingAfterBreak="0">
    <w:nsid w:val="2E622A17"/>
    <w:multiLevelType w:val="hybridMultilevel"/>
    <w:tmpl w:val="CFB85480"/>
    <w:lvl w:ilvl="0" w:tplc="101E9D50">
      <w:start w:val="1"/>
      <w:numFmt w:val="bullet"/>
      <w:lvlText w:val="•"/>
      <w:lvlJc w:val="left"/>
      <w:pPr>
        <w:ind w:left="720" w:hanging="360"/>
      </w:pPr>
    </w:lvl>
    <w:lvl w:ilvl="1" w:tplc="A43AEC48">
      <w:numFmt w:val="decimal"/>
      <w:lvlText w:val=""/>
      <w:lvlJc w:val="left"/>
    </w:lvl>
    <w:lvl w:ilvl="2" w:tplc="040C8C88">
      <w:numFmt w:val="decimal"/>
      <w:lvlText w:val=""/>
      <w:lvlJc w:val="left"/>
    </w:lvl>
    <w:lvl w:ilvl="3" w:tplc="B270097C">
      <w:numFmt w:val="decimal"/>
      <w:lvlText w:val=""/>
      <w:lvlJc w:val="left"/>
    </w:lvl>
    <w:lvl w:ilvl="4" w:tplc="241CC0E8">
      <w:numFmt w:val="decimal"/>
      <w:lvlText w:val=""/>
      <w:lvlJc w:val="left"/>
    </w:lvl>
    <w:lvl w:ilvl="5" w:tplc="39061F8A">
      <w:numFmt w:val="decimal"/>
      <w:lvlText w:val=""/>
      <w:lvlJc w:val="left"/>
    </w:lvl>
    <w:lvl w:ilvl="6" w:tplc="5E568876">
      <w:numFmt w:val="decimal"/>
      <w:lvlText w:val=""/>
      <w:lvlJc w:val="left"/>
    </w:lvl>
    <w:lvl w:ilvl="7" w:tplc="C1CE8022">
      <w:numFmt w:val="decimal"/>
      <w:lvlText w:val=""/>
      <w:lvlJc w:val="left"/>
    </w:lvl>
    <w:lvl w:ilvl="8" w:tplc="358A7FE4">
      <w:numFmt w:val="decimal"/>
      <w:lvlText w:val=""/>
      <w:lvlJc w:val="left"/>
    </w:lvl>
  </w:abstractNum>
  <w:abstractNum w:abstractNumId="2" w15:restartNumberingAfterBreak="0">
    <w:nsid w:val="453F4DBC"/>
    <w:multiLevelType w:val="hybridMultilevel"/>
    <w:tmpl w:val="C7ACC4D4"/>
    <w:lvl w:ilvl="0" w:tplc="A26A4618">
      <w:start w:val="1"/>
      <w:numFmt w:val="bullet"/>
      <w:lvlText w:val="•"/>
      <w:lvlJc w:val="left"/>
      <w:pPr>
        <w:ind w:left="720" w:hanging="360"/>
      </w:pPr>
    </w:lvl>
    <w:lvl w:ilvl="1" w:tplc="6C741206">
      <w:numFmt w:val="decimal"/>
      <w:lvlText w:val=""/>
      <w:lvlJc w:val="left"/>
    </w:lvl>
    <w:lvl w:ilvl="2" w:tplc="DC5416AC">
      <w:numFmt w:val="decimal"/>
      <w:lvlText w:val=""/>
      <w:lvlJc w:val="left"/>
    </w:lvl>
    <w:lvl w:ilvl="3" w:tplc="2F3EDA46">
      <w:numFmt w:val="decimal"/>
      <w:lvlText w:val=""/>
      <w:lvlJc w:val="left"/>
    </w:lvl>
    <w:lvl w:ilvl="4" w:tplc="373E9FFC">
      <w:numFmt w:val="decimal"/>
      <w:lvlText w:val=""/>
      <w:lvlJc w:val="left"/>
    </w:lvl>
    <w:lvl w:ilvl="5" w:tplc="382C506C">
      <w:numFmt w:val="decimal"/>
      <w:lvlText w:val=""/>
      <w:lvlJc w:val="left"/>
    </w:lvl>
    <w:lvl w:ilvl="6" w:tplc="C7B0219C">
      <w:numFmt w:val="decimal"/>
      <w:lvlText w:val=""/>
      <w:lvlJc w:val="left"/>
    </w:lvl>
    <w:lvl w:ilvl="7" w:tplc="AC384D0A">
      <w:numFmt w:val="decimal"/>
      <w:lvlText w:val=""/>
      <w:lvlJc w:val="left"/>
    </w:lvl>
    <w:lvl w:ilvl="8" w:tplc="CB24CAD4">
      <w:numFmt w:val="decimal"/>
      <w:lvlText w:val=""/>
      <w:lvlJc w:val="left"/>
    </w:lvl>
  </w:abstractNum>
  <w:abstractNum w:abstractNumId="3" w15:restartNumberingAfterBreak="0">
    <w:nsid w:val="64C77784"/>
    <w:multiLevelType w:val="hybridMultilevel"/>
    <w:tmpl w:val="BBC28EB8"/>
    <w:lvl w:ilvl="0" w:tplc="C2D60420">
      <w:start w:val="1"/>
      <w:numFmt w:val="bullet"/>
      <w:lvlText w:val="●"/>
      <w:lvlJc w:val="left"/>
      <w:pPr>
        <w:ind w:left="720" w:hanging="360"/>
      </w:pPr>
    </w:lvl>
    <w:lvl w:ilvl="1" w:tplc="95FEDDB8">
      <w:start w:val="1"/>
      <w:numFmt w:val="bullet"/>
      <w:lvlText w:val="○"/>
      <w:lvlJc w:val="left"/>
      <w:pPr>
        <w:ind w:left="1440" w:hanging="360"/>
      </w:pPr>
    </w:lvl>
    <w:lvl w:ilvl="2" w:tplc="6F268602">
      <w:start w:val="1"/>
      <w:numFmt w:val="bullet"/>
      <w:lvlText w:val="■"/>
      <w:lvlJc w:val="left"/>
      <w:pPr>
        <w:ind w:left="2160" w:hanging="360"/>
      </w:pPr>
    </w:lvl>
    <w:lvl w:ilvl="3" w:tplc="6E2AB020">
      <w:start w:val="1"/>
      <w:numFmt w:val="bullet"/>
      <w:lvlText w:val="●"/>
      <w:lvlJc w:val="left"/>
      <w:pPr>
        <w:ind w:left="2880" w:hanging="360"/>
      </w:pPr>
    </w:lvl>
    <w:lvl w:ilvl="4" w:tplc="71F66538">
      <w:start w:val="1"/>
      <w:numFmt w:val="bullet"/>
      <w:lvlText w:val="○"/>
      <w:lvlJc w:val="left"/>
      <w:pPr>
        <w:ind w:left="3600" w:hanging="360"/>
      </w:pPr>
    </w:lvl>
    <w:lvl w:ilvl="5" w:tplc="6E48485E">
      <w:start w:val="1"/>
      <w:numFmt w:val="bullet"/>
      <w:lvlText w:val="■"/>
      <w:lvlJc w:val="left"/>
      <w:pPr>
        <w:ind w:left="4320" w:hanging="360"/>
      </w:pPr>
    </w:lvl>
    <w:lvl w:ilvl="6" w:tplc="CE96DC80">
      <w:start w:val="1"/>
      <w:numFmt w:val="bullet"/>
      <w:lvlText w:val="●"/>
      <w:lvlJc w:val="left"/>
      <w:pPr>
        <w:ind w:left="5040" w:hanging="360"/>
      </w:pPr>
    </w:lvl>
    <w:lvl w:ilvl="7" w:tplc="B9CECC7A">
      <w:start w:val="1"/>
      <w:numFmt w:val="bullet"/>
      <w:lvlText w:val="●"/>
      <w:lvlJc w:val="left"/>
      <w:pPr>
        <w:ind w:left="5760" w:hanging="360"/>
      </w:pPr>
    </w:lvl>
    <w:lvl w:ilvl="8" w:tplc="1134570A">
      <w:start w:val="1"/>
      <w:numFmt w:val="bullet"/>
      <w:lvlText w:val="●"/>
      <w:lvlJc w:val="left"/>
      <w:pPr>
        <w:ind w:left="6480" w:hanging="360"/>
      </w:pPr>
    </w:lvl>
  </w:abstractNum>
  <w:abstractNum w:abstractNumId="4" w15:restartNumberingAfterBreak="0">
    <w:nsid w:val="67D46B26"/>
    <w:multiLevelType w:val="hybridMultilevel"/>
    <w:tmpl w:val="A2CC07CC"/>
    <w:lvl w:ilvl="0" w:tplc="72CA0E8E">
      <w:start w:val="1"/>
      <w:numFmt w:val="bullet"/>
      <w:lvlText w:val="•"/>
      <w:lvlJc w:val="left"/>
      <w:pPr>
        <w:ind w:left="720" w:hanging="360"/>
      </w:pPr>
    </w:lvl>
    <w:lvl w:ilvl="1" w:tplc="C10215A8">
      <w:numFmt w:val="decimal"/>
      <w:lvlText w:val=""/>
      <w:lvlJc w:val="left"/>
    </w:lvl>
    <w:lvl w:ilvl="2" w:tplc="31469E24">
      <w:numFmt w:val="decimal"/>
      <w:lvlText w:val=""/>
      <w:lvlJc w:val="left"/>
    </w:lvl>
    <w:lvl w:ilvl="3" w:tplc="4F7EE41A">
      <w:numFmt w:val="decimal"/>
      <w:lvlText w:val=""/>
      <w:lvlJc w:val="left"/>
    </w:lvl>
    <w:lvl w:ilvl="4" w:tplc="52C25704">
      <w:numFmt w:val="decimal"/>
      <w:lvlText w:val=""/>
      <w:lvlJc w:val="left"/>
    </w:lvl>
    <w:lvl w:ilvl="5" w:tplc="B9DA91CE">
      <w:numFmt w:val="decimal"/>
      <w:lvlText w:val=""/>
      <w:lvlJc w:val="left"/>
    </w:lvl>
    <w:lvl w:ilvl="6" w:tplc="16DC6126">
      <w:numFmt w:val="decimal"/>
      <w:lvlText w:val=""/>
      <w:lvlJc w:val="left"/>
    </w:lvl>
    <w:lvl w:ilvl="7" w:tplc="5C6CFF0A">
      <w:numFmt w:val="decimal"/>
      <w:lvlText w:val=""/>
      <w:lvlJc w:val="left"/>
    </w:lvl>
    <w:lvl w:ilvl="8" w:tplc="BB762600">
      <w:numFmt w:val="decimal"/>
      <w:lvlText w:val=""/>
      <w:lvlJc w:val="left"/>
    </w:lvl>
  </w:abstractNum>
  <w:abstractNum w:abstractNumId="5" w15:restartNumberingAfterBreak="0">
    <w:nsid w:val="6E2C704A"/>
    <w:multiLevelType w:val="hybridMultilevel"/>
    <w:tmpl w:val="09904268"/>
    <w:lvl w:ilvl="0" w:tplc="08002240">
      <w:start w:val="1"/>
      <w:numFmt w:val="bullet"/>
      <w:lvlText w:val="•"/>
      <w:lvlJc w:val="left"/>
      <w:pPr>
        <w:ind w:left="720" w:hanging="360"/>
      </w:pPr>
    </w:lvl>
    <w:lvl w:ilvl="1" w:tplc="51405A52">
      <w:numFmt w:val="decimal"/>
      <w:lvlText w:val=""/>
      <w:lvlJc w:val="left"/>
    </w:lvl>
    <w:lvl w:ilvl="2" w:tplc="923A24CA">
      <w:numFmt w:val="decimal"/>
      <w:lvlText w:val=""/>
      <w:lvlJc w:val="left"/>
    </w:lvl>
    <w:lvl w:ilvl="3" w:tplc="CF08FE5E">
      <w:numFmt w:val="decimal"/>
      <w:lvlText w:val=""/>
      <w:lvlJc w:val="left"/>
    </w:lvl>
    <w:lvl w:ilvl="4" w:tplc="0792B0EA">
      <w:numFmt w:val="decimal"/>
      <w:lvlText w:val=""/>
      <w:lvlJc w:val="left"/>
    </w:lvl>
    <w:lvl w:ilvl="5" w:tplc="8E166892">
      <w:numFmt w:val="decimal"/>
      <w:lvlText w:val=""/>
      <w:lvlJc w:val="left"/>
    </w:lvl>
    <w:lvl w:ilvl="6" w:tplc="3904D9F4">
      <w:numFmt w:val="decimal"/>
      <w:lvlText w:val=""/>
      <w:lvlJc w:val="left"/>
    </w:lvl>
    <w:lvl w:ilvl="7" w:tplc="0C40744E">
      <w:numFmt w:val="decimal"/>
      <w:lvlText w:val=""/>
      <w:lvlJc w:val="left"/>
    </w:lvl>
    <w:lvl w:ilvl="8" w:tplc="69CE74E2">
      <w:numFmt w:val="decimal"/>
      <w:lvlText w:val=""/>
      <w:lvlJc w:val="left"/>
    </w:lvl>
  </w:abstractNum>
  <w:abstractNum w:abstractNumId="6" w15:restartNumberingAfterBreak="0">
    <w:nsid w:val="7BCB6157"/>
    <w:multiLevelType w:val="hybridMultilevel"/>
    <w:tmpl w:val="36025970"/>
    <w:lvl w:ilvl="0" w:tplc="7A4E9CE0">
      <w:start w:val="1"/>
      <w:numFmt w:val="bullet"/>
      <w:lvlText w:val="•"/>
      <w:lvlJc w:val="left"/>
      <w:pPr>
        <w:ind w:left="720" w:hanging="360"/>
      </w:pPr>
    </w:lvl>
    <w:lvl w:ilvl="1" w:tplc="E2709336">
      <w:numFmt w:val="decimal"/>
      <w:lvlText w:val=""/>
      <w:lvlJc w:val="left"/>
    </w:lvl>
    <w:lvl w:ilvl="2" w:tplc="2B6E6200">
      <w:numFmt w:val="decimal"/>
      <w:lvlText w:val=""/>
      <w:lvlJc w:val="left"/>
    </w:lvl>
    <w:lvl w:ilvl="3" w:tplc="F52644B4">
      <w:numFmt w:val="decimal"/>
      <w:lvlText w:val=""/>
      <w:lvlJc w:val="left"/>
    </w:lvl>
    <w:lvl w:ilvl="4" w:tplc="007E4902">
      <w:numFmt w:val="decimal"/>
      <w:lvlText w:val=""/>
      <w:lvlJc w:val="left"/>
    </w:lvl>
    <w:lvl w:ilvl="5" w:tplc="4A065B6C">
      <w:numFmt w:val="decimal"/>
      <w:lvlText w:val=""/>
      <w:lvlJc w:val="left"/>
    </w:lvl>
    <w:lvl w:ilvl="6" w:tplc="D1949016">
      <w:numFmt w:val="decimal"/>
      <w:lvlText w:val=""/>
      <w:lvlJc w:val="left"/>
    </w:lvl>
    <w:lvl w:ilvl="7" w:tplc="2D2068FE">
      <w:numFmt w:val="decimal"/>
      <w:lvlText w:val=""/>
      <w:lvlJc w:val="left"/>
    </w:lvl>
    <w:lvl w:ilvl="8" w:tplc="345027CE">
      <w:numFmt w:val="decimal"/>
      <w:lvlText w:val=""/>
      <w:lvlJc w:val="left"/>
    </w:lvl>
  </w:abstractNum>
  <w:num w:numId="1" w16cid:durableId="1472747989">
    <w:abstractNumId w:val="3"/>
    <w:lvlOverride w:ilvl="0">
      <w:startOverride w:val="1"/>
    </w:lvlOverride>
  </w:num>
  <w:num w:numId="2" w16cid:durableId="197932685">
    <w:abstractNumId w:val="5"/>
    <w:lvlOverride w:ilvl="0">
      <w:startOverride w:val="1"/>
    </w:lvlOverride>
  </w:num>
  <w:num w:numId="3" w16cid:durableId="758254462">
    <w:abstractNumId w:val="2"/>
    <w:lvlOverride w:ilvl="0">
      <w:startOverride w:val="1"/>
    </w:lvlOverride>
  </w:num>
  <w:num w:numId="4" w16cid:durableId="624507334">
    <w:abstractNumId w:val="6"/>
    <w:lvlOverride w:ilvl="0">
      <w:startOverride w:val="1"/>
    </w:lvlOverride>
  </w:num>
  <w:num w:numId="5" w16cid:durableId="1079716947">
    <w:abstractNumId w:val="0"/>
    <w:lvlOverride w:ilvl="0">
      <w:startOverride w:val="1"/>
    </w:lvlOverride>
  </w:num>
  <w:num w:numId="6" w16cid:durableId="71393775">
    <w:abstractNumId w:val="4"/>
    <w:lvlOverride w:ilvl="0">
      <w:startOverride w:val="1"/>
    </w:lvlOverride>
  </w:num>
  <w:num w:numId="7" w16cid:durableId="73432860">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59"/>
  <w:displayBackgroundShape/>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5A5"/>
    <w:rsid w:val="00064D22"/>
    <w:rsid w:val="001D5305"/>
    <w:rsid w:val="002B6AA5"/>
    <w:rsid w:val="002C33F2"/>
    <w:rsid w:val="002E7223"/>
    <w:rsid w:val="0032655B"/>
    <w:rsid w:val="003E024E"/>
    <w:rsid w:val="00474BB0"/>
    <w:rsid w:val="004F4959"/>
    <w:rsid w:val="005960E2"/>
    <w:rsid w:val="00686FA7"/>
    <w:rsid w:val="007225A5"/>
    <w:rsid w:val="00763ECD"/>
    <w:rsid w:val="007F5C09"/>
    <w:rsid w:val="008A700E"/>
    <w:rsid w:val="00922807"/>
    <w:rsid w:val="009242BA"/>
    <w:rsid w:val="009C3CE7"/>
    <w:rsid w:val="00AE2CBB"/>
    <w:rsid w:val="00BB41CB"/>
    <w:rsid w:val="00D5357A"/>
    <w:rsid w:val="00D55BC6"/>
    <w:rsid w:val="00E124F3"/>
    <w:rsid w:val="00F747BC"/>
    <w:rsid w:val="00FF00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D5F7"/>
  <w15:docId w15:val="{AE0649B0-6F5E-D14C-B800-24698CE6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00D1"/>
  </w:style>
  <w:style w:type="paragraph" w:styleId="berschrift1">
    <w:name w:val="heading 1"/>
    <w:uiPriority w:val="9"/>
    <w:qFormat/>
    <w:pPr>
      <w:spacing w:before="360" w:after="160"/>
      <w:outlineLvl w:val="0"/>
    </w:pPr>
    <w:rPr>
      <w:b/>
      <w:bCs/>
      <w:color w:val="1E1A4B"/>
      <w:sz w:val="32"/>
      <w:szCs w:val="32"/>
    </w:rPr>
  </w:style>
  <w:style w:type="paragraph" w:styleId="berschrift2">
    <w:name w:val="heading 2"/>
    <w:uiPriority w:val="9"/>
    <w:unhideWhenUsed/>
    <w:qFormat/>
    <w:pPr>
      <w:spacing w:before="240" w:after="120"/>
      <w:outlineLvl w:val="1"/>
    </w:pPr>
    <w:rPr>
      <w:b/>
      <w:bCs/>
      <w:color w:val="1E1A4B"/>
      <w:sz w:val="26"/>
      <w:szCs w:val="26"/>
    </w:rPr>
  </w:style>
  <w:style w:type="paragraph" w:styleId="berschrift3">
    <w:name w:val="heading 3"/>
    <w:uiPriority w:val="9"/>
    <w:unhideWhenUsed/>
    <w:qFormat/>
    <w:rsid w:val="00763ECD"/>
    <w:pPr>
      <w:spacing w:after="240"/>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paragraph" w:customStyle="1" w:styleId="Style">
    <w:name w:val="Style"/>
    <w:rsid w:val="00FF00D1"/>
    <w:pPr>
      <w:widowControl w:val="0"/>
      <w:autoSpaceDE w:val="0"/>
      <w:autoSpaceDN w:val="0"/>
      <w:adjustRightInd w:val="0"/>
    </w:pPr>
    <w:rPr>
      <w:rFonts w:ascii="Times New Roman" w:eastAsiaTheme="minorEastAsia" w:hAnsi="Times New Roman" w:cs="Times New Roman"/>
      <w:sz w:val="24"/>
      <w:szCs w:val="24"/>
      <w:lang w:val="en-US" w:eastAsia="zh-CN"/>
    </w:rPr>
  </w:style>
  <w:style w:type="paragraph" w:styleId="Kopfzeile">
    <w:name w:val="header"/>
    <w:basedOn w:val="Standard"/>
    <w:link w:val="KopfzeileZchn"/>
    <w:uiPriority w:val="99"/>
    <w:unhideWhenUsed/>
    <w:rsid w:val="00FF00D1"/>
    <w:pPr>
      <w:tabs>
        <w:tab w:val="center" w:pos="4536"/>
        <w:tab w:val="right" w:pos="9072"/>
      </w:tabs>
    </w:pPr>
  </w:style>
  <w:style w:type="character" w:customStyle="1" w:styleId="KopfzeileZchn">
    <w:name w:val="Kopfzeile Zchn"/>
    <w:basedOn w:val="Absatz-Standardschriftart"/>
    <w:link w:val="Kopfzeile"/>
    <w:uiPriority w:val="99"/>
    <w:rsid w:val="00FF00D1"/>
  </w:style>
  <w:style w:type="paragraph" w:styleId="Fuzeile">
    <w:name w:val="footer"/>
    <w:basedOn w:val="Standard"/>
    <w:link w:val="FuzeileZchn"/>
    <w:uiPriority w:val="99"/>
    <w:unhideWhenUsed/>
    <w:rsid w:val="00FF00D1"/>
    <w:pPr>
      <w:tabs>
        <w:tab w:val="center" w:pos="4536"/>
        <w:tab w:val="right" w:pos="9072"/>
      </w:tabs>
    </w:pPr>
  </w:style>
  <w:style w:type="character" w:customStyle="1" w:styleId="FuzeileZchn">
    <w:name w:val="Fußzeile Zchn"/>
    <w:basedOn w:val="Absatz-Standardschriftart"/>
    <w:link w:val="Fuzeile"/>
    <w:uiPriority w:val="99"/>
    <w:rsid w:val="00FF00D1"/>
  </w:style>
  <w:style w:type="character" w:styleId="BesuchterLink">
    <w:name w:val="FollowedHyperlink"/>
    <w:basedOn w:val="Absatz-Standardschriftart"/>
    <w:uiPriority w:val="99"/>
    <w:semiHidden/>
    <w:unhideWhenUsed/>
    <w:rsid w:val="00763E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wa.lupmis4luspa.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pmis.ammonvictor.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wa.lupmis4luspa.org" TargetMode="External"/><Relationship Id="rId4" Type="http://schemas.openxmlformats.org/officeDocument/2006/relationships/webSettings" Target="webSettings.xml"/><Relationship Id="rId9" Type="http://schemas.openxmlformats.org/officeDocument/2006/relationships/hyperlink" Target="https://lupmis.ammonvictor.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9419</Words>
  <Characters>61321</Characters>
  <Application>Microsoft Office Word</Application>
  <DocSecurity>0</DocSecurity>
  <Lines>1657</Lines>
  <Paragraphs>1645</Paragraphs>
  <ScaleCrop>false</ScaleCrop>
  <HeadingPairs>
    <vt:vector size="4" baseType="variant">
      <vt:variant>
        <vt:lpstr>Titel</vt:lpstr>
      </vt:variant>
      <vt:variant>
        <vt:i4>1</vt:i4>
      </vt:variant>
      <vt:variant>
        <vt:lpstr>Überschriften</vt:lpstr>
      </vt:variant>
      <vt:variant>
        <vt:i4>17</vt:i4>
      </vt:variant>
    </vt:vector>
  </HeadingPairs>
  <TitlesOfParts>
    <vt:vector size="18" baseType="lpstr">
      <vt:lpstr/>
      <vt:lpstr>1. Executive Summary</vt:lpstr>
      <vt:lpstr>2. Project Background</vt:lpstr>
      <vt:lpstr>3. Current Development Status</vt:lpstr>
      <vt:lpstr>4. Comparison with Functional Specifications</vt:lpstr>
      <vt:lpstr>5. Design &amp; Brand Compliance</vt:lpstr>
      <vt:lpstr>6. Stakeholder Engagement Summary</vt:lpstr>
      <vt:lpstr>    Key Findings</vt:lpstr>
      <vt:lpstr>    Integration Priorities</vt:lpstr>
      <vt:lpstr>7. Pilot District Workshop Feedback</vt:lpstr>
      <vt:lpstr>    Public Portal</vt:lpstr>
      <vt:lpstr>    District Backend</vt:lpstr>
      <vt:lpstr>    Drawing and Measurement Tools</vt:lpstr>
      <vt:lpstr>    Parcel Generator</vt:lpstr>
      <vt:lpstr>8. Technical Architecture Overview</vt:lpstr>
      <vt:lpstr>9. Deployment &amp; Access</vt:lpstr>
      <vt:lpstr>10. Upcoming Work &amp; Recommendations</vt:lpstr>
      <vt:lpstr>11. Conclusion</vt:lpstr>
    </vt:vector>
  </TitlesOfParts>
  <Company/>
  <LinksUpToDate>false</LinksUpToDate>
  <CharactersWithSpaces>69095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Ekkehardt Roth</cp:lastModifiedBy>
  <cp:revision>12</cp:revision>
  <dcterms:created xsi:type="dcterms:W3CDTF">2026-04-28T08:03:00Z</dcterms:created>
  <dcterms:modified xsi:type="dcterms:W3CDTF">2026-06-29T14:10:00Z</dcterms:modified>
</cp:coreProperties>
</file>