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169EA7" w14:textId="77777777" w:rsidR="007225A5" w:rsidRPr="003E024E" w:rsidRDefault="00FF00D1">
      <w:pPr>
        <w:spacing w:before="3000"/>
        <w:rPr>
          <w:lang w:val="en-GB"/>
        </w:rPr>
      </w:pPr>
      <w:r>
        <w:rPr>
          <w:rFonts w:ascii="IBM Plex Sans" w:eastAsia="Arial" w:hAnsi="IBM Plex Sans" w:cs="Arial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1BDEF08B" wp14:editId="52BED425">
            <wp:simplePos x="0" y="0"/>
            <wp:positionH relativeFrom="column">
              <wp:posOffset>79375</wp:posOffset>
            </wp:positionH>
            <wp:positionV relativeFrom="paragraph">
              <wp:posOffset>701813</wp:posOffset>
            </wp:positionV>
            <wp:extent cx="6094730" cy="8616950"/>
            <wp:effectExtent l="0" t="0" r="1270" b="6350"/>
            <wp:wrapNone/>
            <wp:docPr id="13547029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02900" name="Grafik 13547029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861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155B8" w14:textId="77777777" w:rsidR="00FF00D1" w:rsidRPr="003E024E" w:rsidRDefault="00FF00D1" w:rsidP="00FF00D1">
      <w:pPr>
        <w:pStyle w:val="Style"/>
        <w:spacing w:line="946" w:lineRule="exact"/>
        <w:ind w:left="1718"/>
        <w:textAlignment w:val="baseline"/>
        <w:rPr>
          <w:rFonts w:ascii="IBM Plex Sans" w:hAnsi="IBM Plex Sans"/>
          <w:lang w:val="en-GB"/>
        </w:rPr>
      </w:pPr>
      <w:r>
        <w:rPr>
          <w:rFonts w:ascii="IBM Plex Sans" w:eastAsia="Courier New" w:hAnsi="IBM Plex Sans" w:cs="Courier New"/>
          <w:w w:val="78"/>
          <w:sz w:val="76"/>
          <w:szCs w:val="76"/>
          <w:lang w:val="en-GB"/>
        </w:rPr>
        <w:t>GHANA</w:t>
      </w:r>
    </w:p>
    <w:p w14:paraId="45D240A5" w14:textId="77777777" w:rsidR="00FF00D1" w:rsidRPr="003E024E" w:rsidRDefault="00FF00D1" w:rsidP="00FF00D1">
      <w:pPr>
        <w:pStyle w:val="Style"/>
        <w:spacing w:before="4" w:line="432" w:lineRule="exact"/>
        <w:ind w:left="1704"/>
        <w:textAlignment w:val="baseline"/>
        <w:rPr>
          <w:rFonts w:ascii="IBM Plex Sans" w:hAnsi="IBM Plex Sans"/>
          <w:lang w:val="en-GB"/>
        </w:rPr>
      </w:pPr>
      <w:r>
        <w:rPr>
          <w:rFonts w:ascii="IBM Plex Sans" w:eastAsia="Arial" w:hAnsi="IBM Plex Sans" w:cs="Arial"/>
          <w:sz w:val="31"/>
          <w:szCs w:val="31"/>
          <w:lang w:val="en-GB"/>
        </w:rPr>
        <w:t xml:space="preserve">Development of a Spatial Planning and Management Information System for Ghana </w:t>
      </w:r>
    </w:p>
    <w:p w14:paraId="2E06DAC0" w14:textId="77777777" w:rsidR="00FF00D1" w:rsidRPr="003E024E" w:rsidRDefault="00FF00D1" w:rsidP="00FF00D1">
      <w:pPr>
        <w:spacing w:before="240"/>
        <w:jc w:val="center"/>
        <w:rPr>
          <w:rFonts w:ascii="IBM Plex Sans" w:eastAsia="Arial" w:hAnsi="IBM Plex Sans" w:cs="Arial"/>
          <w:lang w:val="en-GB"/>
        </w:rPr>
      </w:pPr>
      <w:r>
        <w:rPr>
          <w:b/>
          <w:bCs/>
          <w:color w:val="1E1A4B"/>
          <w:sz w:val="28"/>
          <w:szCs w:val="28"/>
          <w:lang w:val="en-GB"/>
        </w:rPr>
        <w:t xml:space="preserve">LUPMIS2 </w:t>
      </w:r>
      <w:r>
        <w:rPr>
          <w:rFonts w:ascii="IBM Plex Sans" w:eastAsia="Arial" w:hAnsi="IBM Plex Sans" w:cs="Arial"/>
          <w:lang w:val="en-GB"/>
        </w:rPr>
        <w:t xml:space="preserve">Spatial Analysis — User Guide </w:t>
      </w:r>
    </w:p>
    <w:p w14:paraId="5802C54D" w14:textId="77777777" w:rsidR="00FF00D1" w:rsidRPr="003E024E" w:rsidRDefault="00FF00D1" w:rsidP="00FF00D1">
      <w:pPr>
        <w:spacing w:before="240"/>
        <w:jc w:val="center"/>
        <w:rPr>
          <w:rFonts w:ascii="IBM Plex Sans" w:eastAsia="Arial" w:hAnsi="IBM Plex Sans" w:cs="Arial"/>
          <w:lang w:val="en-GB"/>
        </w:rPr>
      </w:pPr>
      <w:r>
        <w:rPr>
          <w:rFonts w:ascii="IBM Plex Sans" w:eastAsia="Arial" w:hAnsi="IBM Plex Sans" w:cs="Arial"/>
          <w:lang w:val="en-GB"/>
        </w:rPr>
        <w:t>Stage 1  ·  July 2026</w:t>
      </w:r>
    </w:p>
    <w:p w14:paraId="7D57F4BC" w14:textId="77777777" w:rsidR="007225A5" w:rsidRPr="003E024E" w:rsidRDefault="007225A5">
      <w:pPr>
        <w:jc w:val="center"/>
        <w:rPr>
          <w:lang w:val="en-GB"/>
        </w:rPr>
      </w:pPr>
    </w:p>
    <w:p w14:paraId="3254C15D" w14:textId="77777777" w:rsidR="007225A5" w:rsidRPr="003E024E" w:rsidRDefault="007225A5">
      <w:pPr>
        <w:rPr>
          <w:lang w:val="en-GB"/>
        </w:rPr>
        <w:sectPr w:rsidR="007225A5" w:rsidRPr="003E024E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berschrift1"/>
      </w:pPr>
      <w:r>
        <w:t>Spatial Analysis (Analyse) — User Guide</w:t>
      </w:r>
    </w:p>
    <w:p>
      <w:pPr>
        <w:spacing w:after="200"/>
      </w:pPr>
      <w:r>
        <w:rPr>
          <w:rFonts w:ascii="Calibri" w:hAnsi="Calibri"/>
          <w:b w:val="0"/>
          <w:i/>
          <w:color w:val="6B7280"/>
          <w:sz w:val="20"/>
        </w:rPr>
        <w:t>LUPMIS2 Stage 1  ·  Overlays and Zonal Statistics  ·  July 2026</w:t>
      </w:r>
    </w:p>
    <w:p>
      <w:pPr>
        <w:pStyle w:val="berschrift1"/>
      </w:pPr>
      <w:r>
        <w:t>1. What Analyse does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The Analyse tool answers spatial questions about the data already on your map — for example “which parcels fall inside this zone?” or “how many parcels are in each collector zone, and what is their average size?”. It produces a new map layer that you can style, inspect and export.</w:t>
      </w:r>
    </w:p>
    <w:p>
      <w:pPr>
        <w:spacing w:after="120"/>
      </w:pPr>
      <w:r>
        <w:rPr>
          <w:rFonts w:ascii="Calibri" w:hAnsi="Calibri"/>
          <w:b/>
          <w:i w:val="0"/>
          <w:color w:val="333333"/>
          <w:sz w:val="22"/>
        </w:rPr>
        <w:t>Everything in Stage 1 runs inside your browser, so it also works offline in the field.</w:t>
      </w:r>
    </w:p>
    <w:p>
      <w:pPr>
        <w:spacing w:after="60"/>
      </w:pPr>
      <w:r>
        <w:rPr>
          <w:rFonts w:ascii="Calibri" w:hAnsi="Calibri"/>
          <w:b w:val="0"/>
          <w:i w:val="0"/>
          <w:color w:val="333333"/>
          <w:sz w:val="22"/>
        </w:rPr>
        <w:t>Two families of analysis are available:</w:t>
      </w:r>
    </w:p>
    <w:p>
      <w:pPr>
        <w:spacing w:after="60"/>
        <w:ind w:left="403" w:hanging="259"/>
      </w:pPr>
      <w:r>
        <w:rPr>
          <w:rFonts w:ascii="Calibri" w:hAnsi="Calibri"/>
          <w:b/>
          <w:color w:val="1E1A4B"/>
          <w:sz w:val="22"/>
        </w:rPr>
        <w:t>•</w:t>
        <w:tab/>
      </w:r>
      <w:r>
        <w:rPr>
          <w:rFonts w:ascii="Calibri" w:hAnsi="Calibri"/>
          <w:b/>
          <w:i w:val="0"/>
          <w:color w:val="333333"/>
          <w:sz w:val="22"/>
        </w:rPr>
        <w:t>Overlays</w:t>
      </w:r>
      <w:r>
        <w:rPr>
          <w:rFonts w:ascii="Calibri" w:hAnsi="Calibri"/>
          <w:b w:val="0"/>
          <w:i w:val="0"/>
          <w:color w:val="333333"/>
          <w:sz w:val="22"/>
        </w:rPr>
        <w:t xml:space="preserve"> — combine two layers to find where they intersect, differ or coincide.</w:t>
      </w:r>
    </w:p>
    <w:p>
      <w:pPr>
        <w:spacing w:after="60"/>
        <w:ind w:left="403" w:hanging="259"/>
      </w:pPr>
      <w:r>
        <w:rPr>
          <w:rFonts w:ascii="Calibri" w:hAnsi="Calibri"/>
          <w:b/>
          <w:color w:val="1E1A4B"/>
          <w:sz w:val="22"/>
        </w:rPr>
        <w:t>•</w:t>
        <w:tab/>
      </w:r>
      <w:r>
        <w:rPr>
          <w:rFonts w:ascii="Calibri" w:hAnsi="Calibri"/>
          <w:b/>
          <w:i w:val="0"/>
          <w:color w:val="333333"/>
          <w:sz w:val="22"/>
        </w:rPr>
        <w:t>Zonal statistics</w:t>
      </w:r>
      <w:r>
        <w:rPr>
          <w:rFonts w:ascii="Calibri" w:hAnsi="Calibri"/>
          <w:b w:val="0"/>
          <w:i w:val="0"/>
          <w:color w:val="333333"/>
          <w:sz w:val="22"/>
        </w:rPr>
        <w:t xml:space="preserve"> — summarise features (or one of their numeric fields) per zone.</w:t>
      </w:r>
    </w:p>
    <w:p>
      <w:pPr>
        <w:pStyle w:val="berschrift1"/>
      </w:pPr>
      <w:r>
        <w:t>2. Before you start — which layers must be open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The analysis works on layers that are already loaded in the map. A layer appears in the Analyse drop-down lists when it meets these conditions: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4513"/>
        <w:gridCol w:w="4513"/>
      </w:tblGrid>
      <w:tr>
        <w:trPr>
          <w:tblHeader w:val="true"/>
        </w:trPr>
        <w:tc>
          <w:tcPr>
            <w:tcW w:type="dxa" w:w="2304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Condition</w:t>
            </w:r>
          </w:p>
        </w:tc>
        <w:tc>
          <w:tcPr>
            <w:tcW w:type="dxa" w:w="7632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Detail</w:t>
            </w:r>
          </w:p>
        </w:tc>
      </w:tr>
      <w:tr>
        <w:trPr>
          <w:cantSplit/>
        </w:trPr>
        <w:tc>
          <w:tcPr>
            <w:tcW w:type="dxa" w:w="2304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Vector layer</w:t>
            </w:r>
          </w:p>
        </w:tc>
        <w:tc>
          <w:tcPr>
            <w:tcW w:type="dxa" w:w="7632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Parcels, zones, roads, drawn features, imported files. Raster layers (WMS, COG) cannot be analysed in Stage 1 — they are for display only.</w:t>
            </w:r>
          </w:p>
        </w:tc>
      </w:tr>
      <w:tr>
        <w:trPr>
          <w:cantSplit/>
        </w:trPr>
        <w:tc>
          <w:tcPr>
            <w:tcW w:type="dxa" w:w="2304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Contains features</w:t>
            </w:r>
          </w:p>
        </w:tc>
        <w:tc>
          <w:tcPr>
            <w:tcW w:type="dxa" w:w="7632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layer must have at least one feature loaded. Empty layers are hidden from the lists.</w:t>
            </w:r>
          </w:p>
        </w:tc>
      </w:tr>
      <w:tr>
        <w:trPr>
          <w:cantSplit/>
        </w:trPr>
        <w:tc>
          <w:tcPr>
            <w:tcW w:type="dxa" w:w="2304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Not a helper layer</w:t>
            </w:r>
          </w:p>
        </w:tc>
        <w:tc>
          <w:tcPr>
            <w:tcW w:type="dxa" w:w="7632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System layers — the vertex-edit dots, GPS trail and GPS position — are excluded automatically.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7D2FE"/>
          <w:left w:val="single" w:sz="4" w:space="0" w:color="C7D2FE"/>
          <w:bottom w:val="single" w:sz="4" w:space="0" w:color="C7D2FE"/>
          <w:right w:val="single" w:sz="4" w:space="0" w:color="C7D2FE"/>
        </w:tblBorders>
      </w:tblPr>
      <w:tblGrid>
        <w:gridCol w:w="9026"/>
      </w:tblGrid>
      <w:tr>
        <w:tc>
          <w:tcPr>
            <w:tcW w:type="dxa" w:w="9936"/>
            <w:shd w:val="clear" w:fill="EEF2FF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1E1A4B"/>
                <w:sz w:val="21"/>
              </w:rPr>
              <w:t xml:space="preserve">The layer does not have to be switched on. </w:t>
            </w:r>
            <w:r>
              <w:rPr>
                <w:rFonts w:ascii="Calibri" w:hAnsi="Calibri"/>
                <w:b w:val="0"/>
                <w:color w:val="1E1A4B"/>
                <w:sz w:val="21"/>
              </w:rPr>
              <w:t>A layer that is loaded but hidden in the Layer Switcher still appears in the lists and can be analysed. What matters is that its data has been loaded — so zoom to your district first and let the parcels and zones finish loading before you open Analyse.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 xml:space="preserve">Each entry in the list shows the layer name followed by its feature count, for example </w:t>
      </w:r>
      <w:r>
        <w:rPr>
          <w:rFonts w:ascii="Calibri" w:hAnsi="Calibri"/>
          <w:b/>
          <w:i w:val="0"/>
          <w:color w:val="333333"/>
          <w:sz w:val="22"/>
        </w:rPr>
        <w:t>Parcels (25,004)</w:t>
      </w:r>
      <w:r>
        <w:rPr>
          <w:rFonts w:ascii="Calibri" w:hAnsi="Calibri"/>
          <w:b w:val="0"/>
          <w:i w:val="0"/>
          <w:color w:val="333333"/>
          <w:sz w:val="22"/>
        </w:rPr>
        <w:t>. Use this to confirm the data you expect is actually loaded.</w:t>
      </w:r>
    </w:p>
    <w:p>
      <w:pPr>
        <w:pStyle w:val="berschrift1"/>
      </w:pPr>
      <w:r>
        <w:t>3. Opening the Analyse panel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There are two ways in, and they differ only in what the analysis is applied to.</w:t>
      </w:r>
    </w:p>
    <w:p>
      <w:pPr>
        <w:pStyle w:val="berschrift2"/>
      </w:pPr>
      <w:r>
        <w:t>3.1 From the toolbar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 xml:space="preserve">Click the </w:t>
      </w:r>
      <w:r>
        <w:rPr>
          <w:rFonts w:ascii="Calibri" w:hAnsi="Calibri"/>
          <w:b/>
          <w:i w:val="0"/>
          <w:color w:val="333333"/>
          <w:sz w:val="22"/>
        </w:rPr>
        <w:t>🧮 Analyse</w:t>
      </w:r>
      <w:r>
        <w:rPr>
          <w:rFonts w:ascii="Calibri" w:hAnsi="Calibri"/>
          <w:b w:val="0"/>
          <w:i w:val="0"/>
          <w:color w:val="333333"/>
          <w:sz w:val="22"/>
        </w:rPr>
        <w:t xml:space="preserve"> button in the bottom toolbar. Use this route for whole-layer work — for example a district-wide summary of parcels per zone.</w:t>
      </w:r>
    </w:p>
    <w:p>
      <w:pPr>
        <w:pStyle w:val="berschrift2"/>
      </w:pPr>
      <w:r>
        <w:t>3.2 From a Circle or Area measurement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Use this route when you want to analyse one area of interest.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1.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Draw a circle or an area with the </w:t>
      </w:r>
      <w:r>
        <w:rPr>
          <w:rFonts w:ascii="Calibri" w:hAnsi="Calibri"/>
          <w:b/>
          <w:i w:val="0"/>
          <w:color w:val="333333"/>
          <w:sz w:val="22"/>
        </w:rPr>
        <w:t>Circle</w:t>
      </w:r>
      <w:r>
        <w:rPr>
          <w:rFonts w:ascii="Calibri" w:hAnsi="Calibri"/>
          <w:b w:val="0"/>
          <w:i w:val="0"/>
          <w:color w:val="333333"/>
          <w:sz w:val="22"/>
        </w:rPr>
        <w:t xml:space="preserve"> or </w:t>
      </w:r>
      <w:r>
        <w:rPr>
          <w:rFonts w:ascii="Calibri" w:hAnsi="Calibri"/>
          <w:b/>
          <w:i w:val="0"/>
          <w:color w:val="333333"/>
          <w:sz w:val="22"/>
        </w:rPr>
        <w:t>Area</w:t>
      </w:r>
      <w:r>
        <w:rPr>
          <w:rFonts w:ascii="Calibri" w:hAnsi="Calibri"/>
          <w:b w:val="0"/>
          <w:i w:val="0"/>
          <w:color w:val="333333"/>
          <w:sz w:val="22"/>
        </w:rPr>
        <w:t xml:space="preserve"> tool.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2.</w:t>
        <w:tab/>
      </w:r>
      <w:r>
        <w:rPr>
          <w:rFonts w:ascii="Calibri" w:hAnsi="Calibri"/>
          <w:b w:val="0"/>
          <w:i w:val="0"/>
          <w:color w:val="333333"/>
          <w:sz w:val="22"/>
        </w:rPr>
        <w:t>The analysis pop-up lists what the shape caught.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3.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Click </w:t>
      </w:r>
      <w:r>
        <w:rPr>
          <w:rFonts w:ascii="Calibri" w:hAnsi="Calibri"/>
          <w:b/>
          <w:i w:val="0"/>
          <w:color w:val="333333"/>
          <w:sz w:val="22"/>
        </w:rPr>
        <w:t>🧮 Analyse</w:t>
      </w:r>
      <w:r>
        <w:rPr>
          <w:rFonts w:ascii="Calibri" w:hAnsi="Calibri"/>
          <w:b w:val="0"/>
          <w:i w:val="0"/>
          <w:color w:val="333333"/>
          <w:sz w:val="22"/>
        </w:rPr>
        <w:t xml:space="preserve"> in that pop-up.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 xml:space="preserve">The panel opens with the scope already set to the features your shape caught — shown as, for example, </w:t>
      </w:r>
      <w:r>
        <w:rPr>
          <w:rFonts w:ascii="Calibri" w:hAnsi="Calibri"/>
          <w:b/>
          <w:i w:val="0"/>
          <w:color w:val="333333"/>
          <w:sz w:val="22"/>
        </w:rPr>
        <w:t>From Circle Analysis (37 features)</w:t>
      </w:r>
      <w:r>
        <w:rPr>
          <w:rFonts w:ascii="Calibri" w:hAnsi="Calibri"/>
          <w:b w:val="0"/>
          <w:i w:val="0"/>
          <w:color w:val="333333"/>
          <w:sz w:val="22"/>
        </w:rPr>
        <w:t>.</w:t>
      </w:r>
    </w:p>
    <w:p>
      <w:pPr>
        <w:pStyle w:val="berschrift1"/>
      </w:pPr>
      <w:r>
        <w:t>4. Choosing what to analyse — “Apply to”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The Apply to list at the top of the panel limits which features take part. This is the main way to keep a large layer manageable and to focus on a specific area.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09"/>
        <w:gridCol w:w="3009"/>
        <w:gridCol w:w="3009"/>
      </w:tblGrid>
      <w:tr>
        <w:trPr>
          <w:tblHeader w:val="true"/>
        </w:trPr>
        <w:tc>
          <w:tcPr>
            <w:tcW w:type="dxa" w:w="3024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Option</w:t>
            </w:r>
          </w:p>
        </w:tc>
        <w:tc>
          <w:tcPr>
            <w:tcW w:type="dxa" w:w="3312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What it uses</w:t>
            </w:r>
          </w:p>
        </w:tc>
        <w:tc>
          <w:tcPr>
            <w:tcW w:type="dxa" w:w="360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When to use it</w:t>
            </w:r>
          </w:p>
        </w:tc>
      </w:tr>
      <w:tr>
        <w:trPr>
          <w:cantSplit/>
        </w:trPr>
        <w:tc>
          <w:tcPr>
            <w:tcW w:type="dxa" w:w="3024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Whole layer</w:t>
            </w:r>
          </w:p>
        </w:tc>
        <w:tc>
          <w:tcPr>
            <w:tcW w:type="dxa" w:w="3312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Every feature in the chosen layer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District-wide summaries and reports</w:t>
            </w:r>
          </w:p>
        </w:tc>
      </w:tr>
      <w:tr>
        <w:trPr>
          <w:cantSplit/>
        </w:trPr>
        <w:tc>
          <w:tcPr>
            <w:tcW w:type="dxa" w:w="3024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Features in current map view</w:t>
            </w:r>
          </w:p>
        </w:tc>
        <w:tc>
          <w:tcPr>
            <w:tcW w:type="dxa" w:w="3312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Only what is inside the visible map window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Zoom to a neighbourhood, then analyse just that</w:t>
            </w:r>
          </w:p>
        </w:tc>
      </w:tr>
      <w:tr>
        <w:trPr>
          <w:cantSplit/>
        </w:trPr>
        <w:tc>
          <w:tcPr>
            <w:tcW w:type="dxa" w:w="3024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Selected features only</w:t>
            </w:r>
          </w:p>
        </w:tc>
        <w:tc>
          <w:tcPr>
            <w:tcW w:type="dxa" w:w="3312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Features you picked by hand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 specific handful of parcels</w:t>
            </w:r>
          </w:p>
        </w:tc>
      </w:tr>
      <w:tr>
        <w:trPr>
          <w:cantSplit/>
        </w:trPr>
        <w:tc>
          <w:tcPr>
            <w:tcW w:type="dxa" w:w="3024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From Circle / Area</w:t>
            </w:r>
          </w:p>
        </w:tc>
        <w:tc>
          <w:tcPr>
            <w:tcW w:type="dxa" w:w="3312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What the drawn shape caught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Appears only when opened from a measurement pop-up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rFonts w:ascii="Calibri" w:hAnsi="Calibri"/>
          <w:b/>
          <w:i w:val="0"/>
          <w:color w:val="333333"/>
          <w:sz w:val="22"/>
        </w:rPr>
        <w:t xml:space="preserve">To select features by hand: </w:t>
      </w:r>
      <w:r>
        <w:rPr>
          <w:rFonts w:ascii="Calibri" w:hAnsi="Calibri"/>
          <w:b w:val="0"/>
          <w:i w:val="0"/>
          <w:color w:val="333333"/>
          <w:sz w:val="22"/>
        </w:rPr>
        <w:t>open the Digitise tool, then Shift-click features one at a time, or hold Ctrl (Cmd on Mac) and drag a box around them. The panel shows how many features are currently selected.</w:t>
      </w:r>
    </w:p>
    <w:p>
      <w:pPr>
        <w:pStyle w:val="berschrift1"/>
      </w:pPr>
      <w:r>
        <w:t>5. Tutorial A — Overlay: which parcels fall inside a zone</w:t>
      </w:r>
    </w:p>
    <w:p>
      <w:pPr>
        <w:spacing w:after="120"/>
      </w:pPr>
      <w:r>
        <w:rPr>
          <w:rFonts w:ascii="Calibri" w:hAnsi="Calibri"/>
          <w:b/>
          <w:i w:val="0"/>
          <w:color w:val="333333"/>
          <w:sz w:val="22"/>
        </w:rPr>
        <w:t xml:space="preserve">Overlays work on polygon layers only. </w:t>
      </w:r>
      <w:r>
        <w:rPr>
          <w:rFonts w:ascii="Calibri" w:hAnsi="Calibri"/>
          <w:b w:val="0"/>
          <w:i w:val="0"/>
          <w:color w:val="333333"/>
          <w:sz w:val="22"/>
        </w:rPr>
        <w:t>Point and line layers are ignored by this operation.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1.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Load the two layers you want to combine — for this example </w:t>
      </w:r>
      <w:r>
        <w:rPr>
          <w:rFonts w:ascii="Calibri" w:hAnsi="Calibri"/>
          <w:b/>
          <w:i w:val="0"/>
          <w:color w:val="333333"/>
          <w:sz w:val="22"/>
        </w:rPr>
        <w:t>Parcels</w:t>
      </w:r>
      <w:r>
        <w:rPr>
          <w:rFonts w:ascii="Calibri" w:hAnsi="Calibri"/>
          <w:b w:val="0"/>
          <w:i w:val="0"/>
          <w:color w:val="333333"/>
          <w:sz w:val="22"/>
        </w:rPr>
        <w:t xml:space="preserve"> and </w:t>
      </w:r>
      <w:r>
        <w:rPr>
          <w:rFonts w:ascii="Calibri" w:hAnsi="Calibri"/>
          <w:b/>
          <w:i w:val="0"/>
          <w:color w:val="333333"/>
          <w:sz w:val="22"/>
        </w:rPr>
        <w:t>Collector Zones</w:t>
      </w:r>
      <w:r>
        <w:rPr>
          <w:rFonts w:ascii="Calibri" w:hAnsi="Calibri"/>
          <w:b w:val="0"/>
          <w:i w:val="0"/>
          <w:color w:val="333333"/>
          <w:sz w:val="22"/>
        </w:rPr>
        <w:t>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2.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Open Analyse and keep the </w:t>
      </w:r>
      <w:r>
        <w:rPr>
          <w:rFonts w:ascii="Calibri" w:hAnsi="Calibri"/>
          <w:b/>
          <w:i w:val="0"/>
          <w:color w:val="333333"/>
          <w:sz w:val="22"/>
        </w:rPr>
        <w:t>Overlay</w:t>
      </w:r>
      <w:r>
        <w:rPr>
          <w:rFonts w:ascii="Calibri" w:hAnsi="Calibri"/>
          <w:b w:val="0"/>
          <w:i w:val="0"/>
          <w:color w:val="333333"/>
          <w:sz w:val="22"/>
        </w:rPr>
        <w:t xml:space="preserve"> tab selected.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3.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Choose an </w:t>
      </w:r>
      <w:r>
        <w:rPr>
          <w:rFonts w:ascii="Calibri" w:hAnsi="Calibri"/>
          <w:b/>
          <w:i w:val="0"/>
          <w:color w:val="333333"/>
          <w:sz w:val="22"/>
        </w:rPr>
        <w:t>Operation</w:t>
      </w:r>
      <w:r>
        <w:rPr>
          <w:rFonts w:ascii="Calibri" w:hAnsi="Calibri"/>
          <w:b w:val="0"/>
          <w:i w:val="0"/>
          <w:color w:val="333333"/>
          <w:sz w:val="22"/>
        </w:rPr>
        <w:t xml:space="preserve"> (see the table below). For this example choose </w:t>
      </w:r>
      <w:r>
        <w:rPr>
          <w:rFonts w:ascii="Calibri" w:hAnsi="Calibri"/>
          <w:b/>
          <w:i w:val="0"/>
          <w:color w:val="333333"/>
          <w:sz w:val="22"/>
        </w:rPr>
        <w:t>Intersect</w:t>
      </w:r>
      <w:r>
        <w:rPr>
          <w:rFonts w:ascii="Calibri" w:hAnsi="Calibri"/>
          <w:b w:val="0"/>
          <w:i w:val="0"/>
          <w:color w:val="333333"/>
          <w:sz w:val="22"/>
        </w:rPr>
        <w:t>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4.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Set </w:t>
      </w:r>
      <w:r>
        <w:rPr>
          <w:rFonts w:ascii="Calibri" w:hAnsi="Calibri"/>
          <w:b/>
          <w:i w:val="0"/>
          <w:color w:val="333333"/>
          <w:sz w:val="22"/>
        </w:rPr>
        <w:t>Layer A</w:t>
      </w:r>
      <w:r>
        <w:rPr>
          <w:rFonts w:ascii="Calibri" w:hAnsi="Calibri"/>
          <w:b w:val="0"/>
          <w:i w:val="0"/>
          <w:color w:val="333333"/>
          <w:sz w:val="22"/>
        </w:rPr>
        <w:t xml:space="preserve"> to Parcels and </w:t>
      </w:r>
      <w:r>
        <w:rPr>
          <w:rFonts w:ascii="Calibri" w:hAnsi="Calibri"/>
          <w:b/>
          <w:i w:val="0"/>
          <w:color w:val="333333"/>
          <w:sz w:val="22"/>
        </w:rPr>
        <w:t>Layer B</w:t>
      </w:r>
      <w:r>
        <w:rPr>
          <w:rFonts w:ascii="Calibri" w:hAnsi="Calibri"/>
          <w:b w:val="0"/>
          <w:i w:val="0"/>
          <w:color w:val="333333"/>
          <w:sz w:val="22"/>
        </w:rPr>
        <w:t xml:space="preserve"> to Collector Zones. Order matters — the result is built from layer A.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5.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Set </w:t>
      </w:r>
      <w:r>
        <w:rPr>
          <w:rFonts w:ascii="Calibri" w:hAnsi="Calibri"/>
          <w:b/>
          <w:i w:val="0"/>
          <w:color w:val="333333"/>
          <w:sz w:val="22"/>
        </w:rPr>
        <w:t>Apply to</w:t>
      </w:r>
      <w:r>
        <w:rPr>
          <w:rFonts w:ascii="Calibri" w:hAnsi="Calibri"/>
          <w:b w:val="0"/>
          <w:i w:val="0"/>
          <w:color w:val="333333"/>
          <w:sz w:val="22"/>
        </w:rPr>
        <w:t xml:space="preserve"> if you want to limit the area.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6.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Give the result a name, then click </w:t>
      </w:r>
      <w:r>
        <w:rPr>
          <w:rFonts w:ascii="Calibri" w:hAnsi="Calibri"/>
          <w:b/>
          <w:i w:val="0"/>
          <w:color w:val="333333"/>
          <w:sz w:val="22"/>
        </w:rPr>
        <w:t>Run analysis</w:t>
      </w:r>
      <w:r>
        <w:rPr>
          <w:rFonts w:ascii="Calibri" w:hAnsi="Calibri"/>
          <w:b w:val="0"/>
          <w:i w:val="0"/>
          <w:color w:val="333333"/>
          <w:sz w:val="22"/>
        </w:rPr>
        <w:t>.</w:t>
      </w:r>
    </w:p>
    <w:p>
      <w:pPr>
        <w:spacing w:after="60"/>
      </w:pPr>
      <w:r>
        <w:rPr>
          <w:rFonts w:ascii="Calibri" w:hAnsi="Calibri"/>
          <w:b/>
          <w:i w:val="0"/>
          <w:color w:val="1E1A4B"/>
          <w:sz w:val="22"/>
        </w:rPr>
        <w:t>The four operations</w:t>
      </w:r>
      <w:r>
        <w:rPr>
          <w:rFonts w:ascii="Calibri" w:hAnsi="Calibri"/>
          <w:b w:val="0"/>
          <w:i w:val="0"/>
          <w:color w:val="333333"/>
          <w:sz w:val="22"/>
        </w:rPr>
        <w:t>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09"/>
        <w:gridCol w:w="3009"/>
        <w:gridCol w:w="3009"/>
      </w:tblGrid>
      <w:tr>
        <w:trPr>
          <w:tblHeader w:val="true"/>
        </w:trPr>
        <w:tc>
          <w:tcPr>
            <w:tcW w:type="dxa" w:w="2448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Operation</w:t>
            </w:r>
          </w:p>
        </w:tc>
        <w:tc>
          <w:tcPr>
            <w:tcW w:type="dxa" w:w="3888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What you get</w:t>
            </w:r>
          </w:p>
        </w:tc>
        <w:tc>
          <w:tcPr>
            <w:tcW w:type="dxa" w:w="360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Attributes on the result</w:t>
            </w:r>
          </w:p>
        </w:tc>
      </w:tr>
      <w:tr>
        <w:trPr>
          <w:cantSplit/>
        </w:trPr>
        <w:tc>
          <w:tcPr>
            <w:tcW w:type="dxa" w:w="244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Intersect</w:t>
            </w:r>
          </w:p>
        </w:tc>
        <w:tc>
          <w:tcPr>
            <w:tcW w:type="dxa" w:w="388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parts of A that fall inside B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From both layers. If a field name exists in both, B's copy is prefixed b_</w:t>
            </w:r>
          </w:p>
        </w:tc>
      </w:tr>
      <w:tr>
        <w:trPr>
          <w:cantSplit/>
        </w:trPr>
        <w:tc>
          <w:tcPr>
            <w:tcW w:type="dxa" w:w="244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Clip</w:t>
            </w:r>
          </w:p>
        </w:tc>
        <w:tc>
          <w:tcPr>
            <w:tcW w:type="dxa" w:w="388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parts of A that fall inside B — same shapes as Intersect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From layer A only</w:t>
            </w:r>
          </w:p>
        </w:tc>
      </w:tr>
      <w:tr>
        <w:trPr>
          <w:cantSplit/>
        </w:trPr>
        <w:tc>
          <w:tcPr>
            <w:tcW w:type="dxa" w:w="244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Difference</w:t>
            </w:r>
          </w:p>
        </w:tc>
        <w:tc>
          <w:tcPr>
            <w:tcW w:type="dxa" w:w="388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parts of A that fall outside B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From layer A</w:t>
            </w:r>
          </w:p>
        </w:tc>
      </w:tr>
      <w:tr>
        <w:trPr>
          <w:cantSplit/>
        </w:trPr>
        <w:tc>
          <w:tcPr>
            <w:tcW w:type="dxa" w:w="244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Union / Dissolve</w:t>
            </w:r>
          </w:p>
        </w:tc>
        <w:tc>
          <w:tcPr>
            <w:tcW w:type="dxa" w:w="388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All features merged into one outline. Layer B is optional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 field named parts, giving the number of shapes merged</w:t>
            </w:r>
          </w:p>
        </w:tc>
      </w:tr>
    </w:tbl>
    <w:p>
      <w:pPr>
        <w:spacing w:after="80"/>
      </w:pPr>
    </w:p>
    <w:p>
      <w:pPr>
        <w:pStyle w:val="berschrift1"/>
      </w:pPr>
      <w:r>
        <w:t>6. Tutorial B — Zonal statistics: parcels per zone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Zonal statistics answers “how much, per zone?”. The zone layer must be polygons; the features you summarise can be points, lines or polygons.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1.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Open Analyse and switch to the </w:t>
      </w:r>
      <w:r>
        <w:rPr>
          <w:rFonts w:ascii="Calibri" w:hAnsi="Calibri"/>
          <w:b/>
          <w:i w:val="0"/>
          <w:color w:val="333333"/>
          <w:sz w:val="22"/>
        </w:rPr>
        <w:t>Zonal statistics</w:t>
      </w:r>
      <w:r>
        <w:rPr>
          <w:rFonts w:ascii="Calibri" w:hAnsi="Calibri"/>
          <w:b w:val="0"/>
          <w:i w:val="0"/>
          <w:color w:val="333333"/>
          <w:sz w:val="22"/>
        </w:rPr>
        <w:t xml:space="preserve"> tab.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2.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Set </w:t>
      </w:r>
      <w:r>
        <w:rPr>
          <w:rFonts w:ascii="Calibri" w:hAnsi="Calibri"/>
          <w:b/>
          <w:i w:val="0"/>
          <w:color w:val="333333"/>
          <w:sz w:val="22"/>
        </w:rPr>
        <w:t>Zone layer</w:t>
      </w:r>
      <w:r>
        <w:rPr>
          <w:rFonts w:ascii="Calibri" w:hAnsi="Calibri"/>
          <w:b w:val="0"/>
          <w:i w:val="0"/>
          <w:color w:val="333333"/>
          <w:sz w:val="22"/>
        </w:rPr>
        <w:t xml:space="preserve"> to the polygons you want results for — for example Collector Zones.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3.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Set </w:t>
      </w:r>
      <w:r>
        <w:rPr>
          <w:rFonts w:ascii="Calibri" w:hAnsi="Calibri"/>
          <w:b/>
          <w:i w:val="0"/>
          <w:color w:val="333333"/>
          <w:sz w:val="22"/>
        </w:rPr>
        <w:t>Features to summarise</w:t>
      </w:r>
      <w:r>
        <w:rPr>
          <w:rFonts w:ascii="Calibri" w:hAnsi="Calibri"/>
          <w:b w:val="0"/>
          <w:i w:val="0"/>
          <w:color w:val="333333"/>
          <w:sz w:val="22"/>
        </w:rPr>
        <w:t xml:space="preserve"> to the layer being counted — for example Parcels.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4.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Choose </w:t>
      </w:r>
      <w:r>
        <w:rPr>
          <w:rFonts w:ascii="Calibri" w:hAnsi="Calibri"/>
          <w:b/>
          <w:i w:val="0"/>
          <w:color w:val="333333"/>
          <w:sz w:val="22"/>
        </w:rPr>
        <w:t>Counted when</w:t>
      </w:r>
      <w:r>
        <w:rPr>
          <w:rFonts w:ascii="Calibri" w:hAnsi="Calibri"/>
          <w:b w:val="0"/>
          <w:i w:val="0"/>
          <w:color w:val="333333"/>
          <w:sz w:val="22"/>
        </w:rPr>
        <w:t xml:space="preserve"> (see below).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5.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Tick the </w:t>
      </w:r>
      <w:r>
        <w:rPr>
          <w:rFonts w:ascii="Calibri" w:hAnsi="Calibri"/>
          <w:b/>
          <w:i w:val="0"/>
          <w:color w:val="333333"/>
          <w:sz w:val="22"/>
        </w:rPr>
        <w:t>Statistics</w:t>
      </w:r>
      <w:r>
        <w:rPr>
          <w:rFonts w:ascii="Calibri" w:hAnsi="Calibri"/>
          <w:b w:val="0"/>
          <w:i w:val="0"/>
          <w:color w:val="333333"/>
          <w:sz w:val="22"/>
        </w:rPr>
        <w:t xml:space="preserve"> you need. Count is ticked by default.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6.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For Sum, Mean, Minimum or Maximum, also choose a </w:t>
      </w:r>
      <w:r>
        <w:rPr>
          <w:rFonts w:ascii="Calibri" w:hAnsi="Calibri"/>
          <w:b/>
          <w:i w:val="0"/>
          <w:color w:val="333333"/>
          <w:sz w:val="22"/>
        </w:rPr>
        <w:t>Numeric field</w:t>
      </w:r>
      <w:r>
        <w:rPr>
          <w:rFonts w:ascii="Calibri" w:hAnsi="Calibri"/>
          <w:b w:val="0"/>
          <w:i w:val="0"/>
          <w:color w:val="333333"/>
          <w:sz w:val="22"/>
        </w:rPr>
        <w:t xml:space="preserve"> — for example a plot-size field.</w:t>
      </w:r>
    </w:p>
    <w:p>
      <w:pPr>
        <w:spacing w:after="80"/>
        <w:ind w:left="490" w:hanging="490"/>
      </w:pPr>
      <w:r>
        <w:rPr>
          <w:rFonts w:ascii="Calibri" w:hAnsi="Calibri"/>
          <w:b/>
          <w:color w:val="16A34A"/>
          <w:sz w:val="22"/>
        </w:rPr>
        <w:t>7.</w:t>
        <w:tab/>
      </w:r>
      <w:r>
        <w:rPr>
          <w:rFonts w:ascii="Calibri" w:hAnsi="Calibri"/>
          <w:b w:val="0"/>
          <w:i w:val="0"/>
          <w:color w:val="333333"/>
          <w:sz w:val="22"/>
        </w:rPr>
        <w:t xml:space="preserve">Click </w:t>
      </w:r>
      <w:r>
        <w:rPr>
          <w:rFonts w:ascii="Calibri" w:hAnsi="Calibri"/>
          <w:b/>
          <w:i w:val="0"/>
          <w:color w:val="333333"/>
          <w:sz w:val="22"/>
        </w:rPr>
        <w:t>Run analysis</w:t>
      </w:r>
      <w:r>
        <w:rPr>
          <w:rFonts w:ascii="Calibri" w:hAnsi="Calibri"/>
          <w:b w:val="0"/>
          <w:i w:val="0"/>
          <w:color w:val="333333"/>
          <w:sz w:val="22"/>
        </w:rPr>
        <w:t>.</w:t>
      </w:r>
    </w:p>
    <w:p>
      <w:pPr>
        <w:spacing w:after="60"/>
      </w:pPr>
      <w:r>
        <w:rPr>
          <w:rFonts w:ascii="Calibri" w:hAnsi="Calibri"/>
          <w:b/>
          <w:i w:val="0"/>
          <w:color w:val="1E1A4B"/>
          <w:sz w:val="22"/>
        </w:rPr>
        <w:t>Counted when</w:t>
      </w:r>
      <w:r>
        <w:rPr>
          <w:rFonts w:ascii="Calibri" w:hAnsi="Calibri"/>
          <w:b w:val="0"/>
          <w:i w:val="0"/>
          <w:color w:val="333333"/>
          <w:sz w:val="22"/>
        </w:rPr>
        <w:t xml:space="preserve"> decides how a feature is assigned to a zone: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09"/>
        <w:gridCol w:w="3009"/>
        <w:gridCol w:w="3009"/>
      </w:tblGrid>
      <w:tr>
        <w:trPr>
          <w:tblHeader w:val="true"/>
        </w:trPr>
        <w:tc>
          <w:tcPr>
            <w:tcW w:type="dxa" w:w="288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Option</w:t>
            </w:r>
          </w:p>
        </w:tc>
        <w:tc>
          <w:tcPr>
            <w:tcW w:type="dxa" w:w="3744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Meaning</w:t>
            </w:r>
          </w:p>
        </w:tc>
        <w:tc>
          <w:tcPr>
            <w:tcW w:type="dxa" w:w="3312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Effect</w:t>
            </w:r>
          </w:p>
        </w:tc>
      </w:tr>
      <w:tr>
        <w:trPr>
          <w:cantSplit/>
        </w:trPr>
        <w:tc>
          <w:tcPr>
            <w:tcW w:type="dxa" w:w="288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Centroid inside zone</w:t>
            </w:r>
          </w:p>
        </w:tc>
        <w:tc>
          <w:tcPr>
            <w:tcW w:type="dxa" w:w="3744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 feature belongs to the zone containing its centre point</w:t>
            </w:r>
          </w:p>
        </w:tc>
        <w:tc>
          <w:tcPr>
            <w:tcW w:type="dxa" w:w="3312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Each feature counted once. Recommended for totals.</w:t>
            </w:r>
          </w:p>
        </w:tc>
      </w:tr>
      <w:tr>
        <w:trPr>
          <w:cantSplit/>
        </w:trPr>
        <w:tc>
          <w:tcPr>
            <w:tcW w:type="dxa" w:w="288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Any overlap with zone</w:t>
            </w:r>
          </w:p>
        </w:tc>
        <w:tc>
          <w:tcPr>
            <w:tcW w:type="dxa" w:w="3744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 feature belongs to every zone it touches</w:t>
            </w:r>
          </w:p>
        </w:tc>
        <w:tc>
          <w:tcPr>
            <w:tcW w:type="dxa" w:w="3312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 feature crossing a boundary is counted in both zones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7D2FE"/>
          <w:left w:val="single" w:sz="4" w:space="0" w:color="C7D2FE"/>
          <w:bottom w:val="single" w:sz="4" w:space="0" w:color="C7D2FE"/>
          <w:right w:val="single" w:sz="4" w:space="0" w:color="C7D2FE"/>
        </w:tblBorders>
      </w:tblPr>
      <w:tblGrid>
        <w:gridCol w:w="9026"/>
      </w:tblGrid>
      <w:tr>
        <w:tc>
          <w:tcPr>
            <w:tcW w:type="dxa" w:w="9936"/>
            <w:shd w:val="clear" w:fill="EEF2FF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1E1A4B"/>
                <w:sz w:val="21"/>
              </w:rPr>
              <w:t xml:space="preserve">Only numeric fields are offered. </w:t>
            </w:r>
            <w:r>
              <w:rPr>
                <w:rFonts w:ascii="Calibri" w:hAnsi="Calibri"/>
                <w:b w:val="0"/>
                <w:color w:val="1E1A4B"/>
                <w:sz w:val="21"/>
              </w:rPr>
              <w:t>If the field you expect is missing from the list, its values are stored as text in the source data. Count and Total area do not need a field at all.</w:t>
            </w:r>
          </w:p>
        </w:tc>
      </w:tr>
    </w:tbl>
    <w:p>
      <w:pPr>
        <w:spacing w:after="80"/>
      </w:pPr>
    </w:p>
    <w:p>
      <w:pPr>
        <w:pStyle w:val="berschrift1"/>
      </w:pPr>
      <w:r>
        <w:t>7. Reading the results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A successful run produces two things.</w:t>
      </w:r>
    </w:p>
    <w:p>
      <w:pPr>
        <w:pStyle w:val="berschrift2"/>
      </w:pPr>
      <w:r>
        <w:t>7.1 A table in the panel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>Zonal statistics shows an immediate table of the figures, one row per zone. Use this for a quick read or to copy numbers into a report.</w:t>
      </w:r>
    </w:p>
    <w:p>
      <w:pPr>
        <w:spacing w:after="120"/>
      </w:pPr>
      <w:r>
        <w:rPr>
          <w:rFonts w:ascii="Calibri" w:hAnsi="Calibri"/>
          <w:b/>
          <w:i w:val="0"/>
          <w:color w:val="333333"/>
          <w:sz w:val="22"/>
        </w:rPr>
        <w:t>Export the table to Excel.</w:t>
      </w:r>
      <w:r>
        <w:rPr>
          <w:rFonts w:ascii="Calibri" w:hAnsi="Calibri"/>
          <w:b w:val="0"/>
          <w:i w:val="0"/>
          <w:color w:val="333333"/>
          <w:sz w:val="22"/>
        </w:rPr>
        <w:t xml:space="preserve"> After a zonal run, an </w:t>
      </w:r>
      <w:r>
        <w:rPr>
          <w:rFonts w:ascii="Calibri" w:hAnsi="Calibri"/>
          <w:b/>
          <w:i w:val="0"/>
          <w:color w:val="333333"/>
          <w:sz w:val="22"/>
        </w:rPr>
        <w:t>Export table (Excel)</w:t>
      </w:r>
      <w:r>
        <w:rPr>
          <w:rFonts w:ascii="Calibri" w:hAnsi="Calibri"/>
          <w:b w:val="0"/>
          <w:i w:val="0"/>
          <w:color w:val="333333"/>
          <w:sz w:val="22"/>
        </w:rPr>
        <w:t xml:space="preserve"> button appears at the bottom of the panel. It downloads an .xlsx workbook with two sheets: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4513"/>
        <w:gridCol w:w="4513"/>
      </w:tblGrid>
      <w:tr>
        <w:trPr>
          <w:tblHeader w:val="true"/>
        </w:trPr>
        <w:tc>
          <w:tcPr>
            <w:tcW w:type="dxa" w:w="216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Sheet</w:t>
            </w:r>
          </w:p>
        </w:tc>
        <w:tc>
          <w:tcPr>
            <w:tcW w:type="dxa" w:w="7776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Contains</w:t>
            </w:r>
          </w:p>
        </w:tc>
      </w:tr>
      <w:tr>
        <w:trPr>
          <w:cantSplit/>
        </w:trPr>
        <w:tc>
          <w:tcPr>
            <w:tcW w:type="dxa" w:w="216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Parameters</w:t>
            </w:r>
          </w:p>
        </w:tc>
        <w:tc>
          <w:tcPr>
            <w:tcW w:type="dxa" w:w="777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Every setting that produced the table — the zone layer and the layer summarised (with their feature counts), the Apply to scope, the Counted when rule, the statistics chosen, the numeric field, and the date exported</w:t>
            </w:r>
          </w:p>
        </w:tc>
      </w:tr>
      <w:tr>
        <w:trPr>
          <w:cantSplit/>
        </w:trPr>
        <w:tc>
          <w:tcPr>
            <w:tcW w:type="dxa" w:w="216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Results</w:t>
            </w:r>
          </w:p>
        </w:tc>
        <w:tc>
          <w:tcPr>
            <w:tcW w:type="dxa" w:w="777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table itself, one row per zone, with the figures as real numbers ready for further calculation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7D2FE"/>
          <w:left w:val="single" w:sz="4" w:space="0" w:color="C7D2FE"/>
          <w:bottom w:val="single" w:sz="4" w:space="0" w:color="C7D2FE"/>
          <w:right w:val="single" w:sz="4" w:space="0" w:color="C7D2FE"/>
        </w:tblBorders>
      </w:tblPr>
      <w:tblGrid>
        <w:gridCol w:w="9026"/>
      </w:tblGrid>
      <w:tr>
        <w:tc>
          <w:tcPr>
            <w:tcW w:type="dxa" w:w="9936"/>
            <w:shd w:val="clear" w:fill="EEF2FF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1E1A4B"/>
                <w:sz w:val="21"/>
              </w:rPr>
              <w:t xml:space="preserve">Why the parameters sheet matters. </w:t>
            </w:r>
            <w:r>
              <w:rPr>
                <w:rFonts w:ascii="Calibri" w:hAnsi="Calibri"/>
                <w:b w:val="0"/>
                <w:color w:val="1E1A4B"/>
                <w:sz w:val="21"/>
              </w:rPr>
              <w:t>A table of numbers on its own cannot be checked or repeated later. Because the workbook records how the figures were produced, a colleague can verify the result — or reproduce it — months afterwards. Always keep the two sheets together.</w:t>
            </w:r>
          </w:p>
        </w:tc>
      </w:tr>
    </w:tbl>
    <w:p>
      <w:pPr>
        <w:spacing w:after="80"/>
      </w:pPr>
    </w:p>
    <w:p>
      <w:pPr>
        <w:pStyle w:val="berschrift2"/>
      </w:pPr>
      <w:r>
        <w:t>7.2 A new map layer</w:t>
      </w:r>
    </w:p>
    <w:p>
      <w:pPr>
        <w:spacing w:after="120"/>
      </w:pPr>
      <w:r>
        <w:rPr>
          <w:rFonts w:ascii="Calibri" w:hAnsi="Calibri"/>
          <w:b w:val="0"/>
          <w:i w:val="0"/>
          <w:color w:val="333333"/>
          <w:sz w:val="22"/>
        </w:rPr>
        <w:t xml:space="preserve">The result is added to a layer group called </w:t>
      </w:r>
      <w:r>
        <w:rPr>
          <w:rFonts w:ascii="Calibri" w:hAnsi="Calibri"/>
          <w:b/>
          <w:i w:val="0"/>
          <w:color w:val="333333"/>
          <w:sz w:val="22"/>
        </w:rPr>
        <w:t>Analysis</w:t>
      </w:r>
      <w:r>
        <w:rPr>
          <w:rFonts w:ascii="Calibri" w:hAnsi="Calibri"/>
          <w:b w:val="0"/>
          <w:i w:val="0"/>
          <w:color w:val="333333"/>
          <w:sz w:val="22"/>
        </w:rPr>
        <w:t xml:space="preserve"> in the Layer Switcher, drawn in orange so it stands out from the source data. Click any feature to inspect its attributes.</w:t>
      </w:r>
    </w:p>
    <w:p>
      <w:pPr>
        <w:spacing w:after="60"/>
      </w:pPr>
      <w:r>
        <w:rPr>
          <w:rFonts w:ascii="Calibri" w:hAnsi="Calibri"/>
          <w:b w:val="0"/>
          <w:i w:val="0"/>
          <w:color w:val="333333"/>
          <w:sz w:val="22"/>
        </w:rPr>
        <w:t xml:space="preserve">Zonal statistics writes its figures onto each zone as new fields, all prefixed </w:t>
      </w:r>
      <w:r>
        <w:rPr>
          <w:rFonts w:ascii="Calibri" w:hAnsi="Calibri"/>
          <w:b/>
          <w:i w:val="0"/>
          <w:color w:val="333333"/>
          <w:sz w:val="22"/>
        </w:rPr>
        <w:t>zs_</w:t>
      </w:r>
      <w:r>
        <w:rPr>
          <w:rFonts w:ascii="Calibri" w:hAnsi="Calibri"/>
          <w:b w:val="0"/>
          <w:i w:val="0"/>
          <w:color w:val="333333"/>
          <w:sz w:val="22"/>
        </w:rPr>
        <w:t>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4513"/>
        <w:gridCol w:w="4513"/>
      </w:tblGrid>
      <w:tr>
        <w:trPr>
          <w:tblHeader w:val="true"/>
        </w:trPr>
        <w:tc>
          <w:tcPr>
            <w:tcW w:type="dxa" w:w="288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Field</w:t>
            </w:r>
          </w:p>
        </w:tc>
        <w:tc>
          <w:tcPr>
            <w:tcW w:type="dxa" w:w="7056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Contains</w:t>
            </w:r>
          </w:p>
        </w:tc>
      </w:tr>
      <w:tr>
        <w:trPr>
          <w:cantSplit/>
        </w:trPr>
        <w:tc>
          <w:tcPr>
            <w:tcW w:type="dxa" w:w="288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zs_count</w:t>
            </w:r>
          </w:p>
        </w:tc>
        <w:tc>
          <w:tcPr>
            <w:tcW w:type="dxa" w:w="705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Number of features in the zone</w:t>
            </w:r>
          </w:p>
        </w:tc>
      </w:tr>
      <w:tr>
        <w:trPr>
          <w:cantSplit/>
        </w:trPr>
        <w:tc>
          <w:tcPr>
            <w:tcW w:type="dxa" w:w="288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zs_sum</w:t>
            </w:r>
          </w:p>
        </w:tc>
        <w:tc>
          <w:tcPr>
            <w:tcW w:type="dxa" w:w="705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Sum of the chosen numeric field</w:t>
            </w:r>
          </w:p>
        </w:tc>
      </w:tr>
      <w:tr>
        <w:trPr>
          <w:cantSplit/>
        </w:trPr>
        <w:tc>
          <w:tcPr>
            <w:tcW w:type="dxa" w:w="288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zs_mean</w:t>
            </w:r>
          </w:p>
        </w:tc>
        <w:tc>
          <w:tcPr>
            <w:tcW w:type="dxa" w:w="705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Average of the chosen numeric field</w:t>
            </w:r>
          </w:p>
        </w:tc>
      </w:tr>
      <w:tr>
        <w:trPr>
          <w:cantSplit/>
        </w:trPr>
        <w:tc>
          <w:tcPr>
            <w:tcW w:type="dxa" w:w="288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zs_min  /  zs_max</w:t>
            </w:r>
          </w:p>
        </w:tc>
        <w:tc>
          <w:tcPr>
            <w:tcW w:type="dxa" w:w="705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Lowest and highest value of that field</w:t>
            </w:r>
          </w:p>
        </w:tc>
      </w:tr>
      <w:tr>
        <w:trPr>
          <w:cantSplit/>
        </w:trPr>
        <w:tc>
          <w:tcPr>
            <w:tcW w:type="dxa" w:w="288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zs_area_m2</w:t>
            </w:r>
          </w:p>
        </w:tc>
        <w:tc>
          <w:tcPr>
            <w:tcW w:type="dxa" w:w="705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Combined area of the counted features, in square metres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7D2FE"/>
          <w:left w:val="single" w:sz="4" w:space="0" w:color="C7D2FE"/>
          <w:bottom w:val="single" w:sz="4" w:space="0" w:color="C7D2FE"/>
          <w:right w:val="single" w:sz="4" w:space="0" w:color="C7D2FE"/>
        </w:tblBorders>
      </w:tblPr>
      <w:tblGrid>
        <w:gridCol w:w="9026"/>
      </w:tblGrid>
      <w:tr>
        <w:tc>
          <w:tcPr>
            <w:tcW w:type="dxa" w:w="9936"/>
            <w:shd w:val="clear" w:fill="F0FDF4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333333"/>
                <w:sz w:val="21"/>
              </w:rPr>
              <w:t xml:space="preserve">Results are layers like any other. </w:t>
            </w:r>
            <w:r>
              <w:rPr>
                <w:rFonts w:ascii="Calibri" w:hAnsi="Calibri"/>
                <w:b w:val="0"/>
                <w:color w:val="333333"/>
                <w:sz w:val="21"/>
              </w:rPr>
              <w:t>They can be styled, switched on and off, and exported through the normal GIS export (GeoJSON, Shapefile or KML) for use in QGIS or a report.</w:t>
            </w:r>
          </w:p>
        </w:tc>
      </w:tr>
    </w:tbl>
    <w:p>
      <w:pPr>
        <w:spacing w:after="80"/>
      </w:pPr>
    </w:p>
    <w:p>
      <w:pPr>
        <w:pStyle w:val="berschrift1"/>
      </w:pPr>
      <w:r>
        <w:t>8. If something does not work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09"/>
        <w:gridCol w:w="3009"/>
        <w:gridCol w:w="3009"/>
      </w:tblGrid>
      <w:tr>
        <w:trPr>
          <w:tblHeader w:val="true"/>
        </w:trPr>
        <w:tc>
          <w:tcPr>
            <w:tcW w:type="dxa" w:w="3168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What you see</w:t>
            </w:r>
          </w:p>
        </w:tc>
        <w:tc>
          <w:tcPr>
            <w:tcW w:type="dxa" w:w="3168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Why</w:t>
            </w:r>
          </w:p>
        </w:tc>
        <w:tc>
          <w:tcPr>
            <w:tcW w:type="dxa" w:w="360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What to do</w:t>
            </w:r>
          </w:p>
        </w:tc>
      </w:tr>
      <w:tr>
        <w:trPr>
          <w:cantSplit/>
        </w:trPr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 layer is missing from the drop-down</w:t>
            </w:r>
          </w:p>
        </w:tc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It has no features loaded, or it is a raster layer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Zoom to the district and let the data load. Raster layers cannot be analysed in Stage 1.</w:t>
            </w:r>
          </w:p>
        </w:tc>
      </w:tr>
      <w:tr>
        <w:trPr>
          <w:cantSplit/>
        </w:trPr>
        <w:tc>
          <w:tcPr>
            <w:tcW w:type="dxa" w:w="316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“No result features — the layers may not overlap.”</w:t>
            </w:r>
          </w:p>
        </w:tc>
        <w:tc>
          <w:tcPr>
            <w:tcW w:type="dxa" w:w="316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two layers genuinely do not meet in the chosen area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Check you have the right layers, and that Apply to is not limiting you to the wrong area</w:t>
            </w:r>
          </w:p>
        </w:tc>
      </w:tr>
      <w:tr>
        <w:trPr>
          <w:cantSplit/>
        </w:trPr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“Layer A has no features.”</w:t>
            </w:r>
          </w:p>
        </w:tc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scope has filtered everything out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Set Apply to back to Whole layer, or zoom out so the features fall inside the view</w:t>
            </w:r>
          </w:p>
        </w:tc>
      </w:tr>
      <w:tr>
        <w:trPr>
          <w:cantSplit/>
        </w:trPr>
        <w:tc>
          <w:tcPr>
            <w:tcW w:type="dxa" w:w="316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“Sum / mean / min / max need a numeric field.”</w:t>
            </w:r>
          </w:p>
        </w:tc>
        <w:tc>
          <w:tcPr>
            <w:tcW w:type="dxa" w:w="316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A statistic needing a field was ticked, but no field chosen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Pick a numeric field, or untick those statistics</w:t>
            </w:r>
          </w:p>
        </w:tc>
      </w:tr>
      <w:tr>
        <w:trPr>
          <w:cantSplit/>
        </w:trPr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 message about too many overlapping pairs</w:t>
            </w:r>
          </w:p>
        </w:tc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area chosen is genuinely very large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Narrow it with Apply to — current map view, a selection, or a drawn Circle / Area</w:t>
            </w:r>
          </w:p>
        </w:tc>
      </w:tr>
      <w:tr>
        <w:trPr>
          <w:cantSplit/>
        </w:trPr>
        <w:tc>
          <w:tcPr>
            <w:tcW w:type="dxa" w:w="316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Nothing appears on the map</w:t>
            </w:r>
          </w:p>
        </w:tc>
        <w:tc>
          <w:tcPr>
            <w:tcW w:type="dxa" w:w="3168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The result layer may be switched off, or lie outside the current view</w:t>
            </w:r>
          </w:p>
        </w:tc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Check the Analysis group in the Layer Switcher</w:t>
            </w:r>
          </w:p>
        </w:tc>
      </w:tr>
      <w:tr>
        <w:trPr>
          <w:cantSplit/>
        </w:trPr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The Export table button is missing</w:t>
            </w:r>
          </w:p>
        </w:tc>
        <w:tc>
          <w:tcPr>
            <w:tcW w:type="dxa" w:w="3168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It appears only after a zonal statistics run — overlays produce map features, not a table</w:t>
            </w:r>
          </w:p>
        </w:tc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Run a zonal statistics analysis first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rFonts w:ascii="Calibri" w:hAnsi="Calibri"/>
          <w:b/>
          <w:i w:val="0"/>
          <w:color w:val="333333"/>
          <w:sz w:val="22"/>
        </w:rPr>
        <w:t xml:space="preserve">Performance note: </w:t>
      </w:r>
      <w:r>
        <w:rPr>
          <w:rFonts w:ascii="Calibri" w:hAnsi="Calibri"/>
          <w:b w:val="0"/>
          <w:i w:val="0"/>
          <w:color w:val="333333"/>
          <w:sz w:val="21"/>
        </w:rPr>
        <w:t>a district-scale run — 43 zones against about 25,000 parcels — completes in well under a second, so normal district work does not need to be filtered.</w:t>
      </w:r>
    </w:p>
    <w:p>
      <w:pPr>
        <w:pStyle w:val="berschrift1"/>
      </w:pPr>
      <w:r>
        <w:t>9. Quick reference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4513"/>
        <w:gridCol w:w="4513"/>
      </w:tblGrid>
      <w:tr>
        <w:trPr>
          <w:tblHeader w:val="true"/>
        </w:trPr>
        <w:tc>
          <w:tcPr>
            <w:tcW w:type="dxa" w:w="3600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Task</w:t>
            </w:r>
          </w:p>
        </w:tc>
        <w:tc>
          <w:tcPr>
            <w:tcW w:type="dxa" w:w="6336"/>
            <w:shd w:val="clear" w:fill="1E1A4B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Route</w:t>
            </w:r>
          </w:p>
        </w:tc>
      </w:tr>
      <w:tr>
        <w:trPr>
          <w:cantSplit/>
        </w:trPr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Analyse a whole layer</w:t>
            </w:r>
          </w:p>
        </w:tc>
        <w:tc>
          <w:tcPr>
            <w:tcW w:type="dxa" w:w="633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Toolbar → 🧮 Analyse → Apply to: Whole layer</w:t>
            </w:r>
          </w:p>
        </w:tc>
      </w:tr>
      <w:tr>
        <w:trPr>
          <w:cantSplit/>
        </w:trPr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Analyse one area</w:t>
            </w:r>
          </w:p>
        </w:tc>
        <w:tc>
          <w:tcPr>
            <w:tcW w:type="dxa" w:w="633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Draw Circle or Area → Analyse in the pop-up</w:t>
            </w:r>
          </w:p>
        </w:tc>
      </w:tr>
      <w:tr>
        <w:trPr>
          <w:cantSplit/>
        </w:trPr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Analyse a few parcels</w:t>
            </w:r>
          </w:p>
        </w:tc>
        <w:tc>
          <w:tcPr>
            <w:tcW w:type="dxa" w:w="633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Digitise → Shift-click or Ctrl/Cmd-drag → Analyse → Apply to: Selected features</w:t>
            </w:r>
          </w:p>
        </w:tc>
      </w:tr>
      <w:tr>
        <w:trPr>
          <w:cantSplit/>
        </w:trPr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Parcels inside a zone</w:t>
            </w:r>
          </w:p>
        </w:tc>
        <w:tc>
          <w:tcPr>
            <w:tcW w:type="dxa" w:w="633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Overlay → Intersect (A = Parcels, B = Zones)</w:t>
            </w:r>
          </w:p>
        </w:tc>
      </w:tr>
      <w:tr>
        <w:trPr>
          <w:cantSplit/>
        </w:trPr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Cut a layer to a boundary</w:t>
            </w:r>
          </w:p>
        </w:tc>
        <w:tc>
          <w:tcPr>
            <w:tcW w:type="dxa" w:w="633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Overlay → Clip</w:t>
            </w:r>
          </w:p>
        </w:tc>
      </w:tr>
      <w:tr>
        <w:trPr>
          <w:cantSplit/>
        </w:trPr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Everything outside an area</w:t>
            </w:r>
          </w:p>
        </w:tc>
        <w:tc>
          <w:tcPr>
            <w:tcW w:type="dxa" w:w="633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Overlay → Difference</w:t>
            </w:r>
          </w:p>
        </w:tc>
      </w:tr>
      <w:tr>
        <w:trPr>
          <w:cantSplit/>
        </w:trPr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Merge shapes into one outline</w:t>
            </w:r>
          </w:p>
        </w:tc>
        <w:tc>
          <w:tcPr>
            <w:tcW w:type="dxa" w:w="633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Overlay → Union / Dissolve</w:t>
            </w:r>
          </w:p>
        </w:tc>
      </w:tr>
      <w:tr>
        <w:trPr>
          <w:cantSplit/>
        </w:trPr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Count per zone</w:t>
            </w:r>
          </w:p>
        </w:tc>
        <w:tc>
          <w:tcPr>
            <w:tcW w:type="dxa" w:w="633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Zonal statistics → Count</w:t>
            </w:r>
          </w:p>
        </w:tc>
      </w:tr>
      <w:tr>
        <w:trPr>
          <w:cantSplit/>
        </w:trPr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Average plot size per zone</w:t>
            </w:r>
          </w:p>
        </w:tc>
        <w:tc>
          <w:tcPr>
            <w:tcW w:type="dxa" w:w="633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Zonal statistics → Mean + numeric field</w:t>
            </w:r>
          </w:p>
        </w:tc>
      </w:tr>
      <w:tr>
        <w:trPr>
          <w:cantSplit/>
        </w:trPr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Export the zonal table</w:t>
            </w:r>
          </w:p>
        </w:tc>
        <w:tc>
          <w:tcPr>
            <w:tcW w:type="dxa" w:w="633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Run the analysis → Export table (Excel)</w:t>
            </w:r>
          </w:p>
        </w:tc>
      </w:tr>
      <w:tr>
        <w:trPr>
          <w:cantSplit/>
        </w:trPr>
        <w:tc>
          <w:tcPr>
            <w:tcW w:type="dxa" w:w="3600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Find the results</w:t>
            </w:r>
          </w:p>
        </w:tc>
        <w:tc>
          <w:tcPr>
            <w:tcW w:type="dxa" w:w="6336"/>
            <w:shd w:val="clear" w:fill="FFFFFF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Layer Switcher → Analysis group</w:t>
            </w:r>
          </w:p>
        </w:tc>
      </w:tr>
      <w:tr>
        <w:trPr>
          <w:cantSplit/>
        </w:trPr>
        <w:tc>
          <w:tcPr>
            <w:tcW w:type="dxa" w:w="3600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color w:val="333333"/>
                <w:sz w:val="19"/>
              </w:rPr>
              <w:t>Export the results</w:t>
            </w:r>
          </w:p>
        </w:tc>
        <w:tc>
          <w:tcPr>
            <w:tcW w:type="dxa" w:w="6336"/>
            <w:shd w:val="clear" w:fill="F0F0F8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color w:val="333333"/>
                <w:sz w:val="19"/>
              </w:rPr>
              <w:t>Open the layer's export option → GeoJSON / Shapefile / KML</w:t>
            </w:r>
          </w:p>
        </w:tc>
      </w:tr>
    </w:tbl>
    <w:p>
      <w:pPr>
        <w:spacing w:after="80"/>
      </w:pPr>
    </w:p>
    <w:sectPr w:rsidR="0032655B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F189B0" w14:textId="77777777" w:rsidR="00AE2CBB" w:rsidRDefault="00AE2CBB">
      <w:r>
        <w:separator/>
      </w:r>
    </w:p>
  </w:endnote>
  <w:endnote w:type="continuationSeparator" w:id="0">
    <w:p w14:paraId="2F99AFCD" w14:textId="77777777" w:rsidR="00AE2CBB" w:rsidRDefault="00AE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000000000"/>
    <w:charset w:val="4D"/>
    <w:family w:val="swiss"/>
    <w:notTrueType/>
    <w:pitch w:val="variable"/>
    <w:sig w:usb0="A000006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7F55E0" w14:textId="77777777" w:rsidR="007225A5" w:rsidRDefault="00FF00D1">
    <w:pPr>
      <w:pBdr>
        <w:top w:val="single" w:sz="1" w:space="4" w:color="CCCCCC"/>
      </w:pBdr>
      <w:jc w:val="center"/>
    </w:pPr>
    <w:proofErr w:type="gramStart"/>
    <w:r>
      <w:rPr>
        <w:color w:val="999999"/>
        <w:sz w:val="16"/>
        <w:szCs w:val="16"/>
      </w:rPr>
      <w:t>GOPA</w:t>
    </w:r>
    <w:r w:rsidR="002B6AA5">
      <w:rPr>
        <w:color w:val="999999"/>
        <w:sz w:val="16"/>
        <w:szCs w:val="16"/>
      </w:rPr>
      <w:t xml:space="preserve">  |</w:t>
    </w:r>
    <w:proofErr w:type="gramEnd"/>
    <w:r w:rsidR="002B6AA5">
      <w:rPr>
        <w:color w:val="999999"/>
        <w:sz w:val="16"/>
        <w:szCs w:val="16"/>
      </w:rPr>
      <w:t xml:space="preserve">  LUPMIS2 Analyse Guide </w:t>
    </w:r>
    <w:proofErr w:type="gramStart"/>
    <w:r w:rsidR="002B6AA5">
      <w:rPr>
        <w:color w:val="999999"/>
        <w:sz w:val="16"/>
        <w:szCs w:val="16"/>
      </w:rPr>
      <w:t>Report  |</w:t>
    </w:r>
    <w:proofErr w:type="gramEnd"/>
    <w:r w:rsidR="002B6AA5">
      <w:rPr>
        <w:color w:val="999999"/>
        <w:sz w:val="16"/>
        <w:szCs w:val="16"/>
      </w:rPr>
      <w:t xml:space="preserve">  Page </w:t>
    </w:r>
    <w:r w:rsidR="002B6AA5">
      <w:rPr>
        <w:color w:val="999999"/>
        <w:sz w:val="16"/>
        <w:szCs w:val="16"/>
      </w:rPr>
      <w:fldChar w:fldCharType="begin"/>
    </w:r>
    <w:r w:rsidR="002B6AA5">
      <w:rPr>
        <w:color w:val="999999"/>
        <w:sz w:val="16"/>
        <w:szCs w:val="16"/>
      </w:rPr>
      <w:instrText>PAGE</w:instrText>
    </w:r>
    <w:r w:rsidR="002B6AA5">
      <w:rPr>
        <w:color w:val="999999"/>
        <w:sz w:val="16"/>
        <w:szCs w:val="16"/>
      </w:rPr>
      <w:fldChar w:fldCharType="separate"/>
    </w:r>
    <w:r w:rsidR="00E124F3">
      <w:rPr>
        <w:noProof/>
        <w:color w:val="999999"/>
        <w:sz w:val="16"/>
        <w:szCs w:val="16"/>
      </w:rPr>
      <w:t>2</w:t>
    </w:r>
    <w:r w:rsidR="002B6AA5"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858AA1" w14:textId="77777777" w:rsidR="00AE2CBB" w:rsidRDefault="00AE2CBB">
      <w:r>
        <w:separator/>
      </w:r>
    </w:p>
  </w:footnote>
  <w:footnote w:type="continuationSeparator" w:id="0">
    <w:p w14:paraId="2D2B7F7F" w14:textId="77777777" w:rsidR="00AE2CBB" w:rsidRDefault="00AE2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BCA0B" w14:textId="77777777" w:rsidR="00FF00D1" w:rsidRDefault="00FF00D1" w:rsidP="00FF00D1">
    <w:pPr>
      <w:pStyle w:val="Kopfzeile"/>
    </w:pPr>
    <w:r>
      <w:rPr>
        <w:rFonts w:ascii="IBM Plex Sans" w:hAnsi="IBM Plex Sans"/>
        <w:noProof/>
      </w:rPr>
      <w:drawing>
        <wp:anchor distT="0" distB="0" distL="114300" distR="114300" simplePos="0" relativeHeight="251659264" behindDoc="0" locked="0" layoutInCell="1" allowOverlap="1" wp14:anchorId="50EF76EE" wp14:editId="0DB2641A">
          <wp:simplePos x="0" y="0"/>
          <wp:positionH relativeFrom="column">
            <wp:posOffset>-82955</wp:posOffset>
          </wp:positionH>
          <wp:positionV relativeFrom="paragraph">
            <wp:posOffset>182534</wp:posOffset>
          </wp:positionV>
          <wp:extent cx="1247775" cy="554355"/>
          <wp:effectExtent l="0" t="0" r="0" b="4445"/>
          <wp:wrapNone/>
          <wp:docPr id="19210444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044471" name="Grafik 1921044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087" w:type="dxa"/>
      <w:tblInd w:w="197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111"/>
      <w:gridCol w:w="2976"/>
    </w:tblGrid>
    <w:tr w:rsidR="00FF00D1" w14:paraId="2A20D306" w14:textId="77777777" w:rsidTr="009A2347">
      <w:tc>
        <w:tcPr>
          <w:tcW w:w="4111" w:type="dxa"/>
        </w:tcPr>
        <w:p w14:paraId="69A2E7D4" w14:textId="77777777" w:rsidR="00FF00D1" w:rsidRDefault="00FF00D1" w:rsidP="00FF00D1">
          <w:r>
            <w:fldChar w:fldCharType="begin"/>
          </w:r>
          <w:r>
            <w:instrText xml:space="preserve"> SUBJECT  \* MERGEFORMAT </w:instrText>
          </w:r>
          <w:r>
            <w:fldChar w:fldCharType="end"/>
          </w:r>
        </w:p>
      </w:tc>
      <w:tc>
        <w:tcPr>
          <w:tcW w:w="2976" w:type="dxa"/>
        </w:tcPr>
        <w:p w14:paraId="29A49625" w14:textId="77777777" w:rsidR="00FF00D1" w:rsidRDefault="00FF00D1" w:rsidP="00FF00D1">
          <w:pPr>
            <w:tabs>
              <w:tab w:val="left" w:pos="1135"/>
            </w:tabs>
            <w:spacing w:before="40"/>
            <w:ind w:right="68"/>
          </w:pPr>
          <w:r>
            <w:t xml:space="preserve">  Version:           &lt;1.0&gt;</w:t>
          </w:r>
        </w:p>
      </w:tc>
    </w:tr>
    <w:tr w:rsidR="00FF00D1" w14:paraId="6F494568" w14:textId="77777777" w:rsidTr="009A2347">
      <w:tc>
        <w:tcPr>
          <w:tcW w:w="4111" w:type="dxa"/>
        </w:tcPr>
        <w:p w14:paraId="484C4EE4" w14:textId="77777777" w:rsidR="00FF00D1" w:rsidRPr="00FF00D1" w:rsidRDefault="00FF00D1" w:rsidP="00FF00D1">
          <w:pPr>
            <w:rPr>
              <w:sz w:val="20"/>
              <w:szCs w:val="20"/>
            </w:rPr>
          </w:pPr>
          <w:r w:rsidRPr="00FF00D1">
            <w:rPr>
              <w:i/>
              <w:iCs/>
              <w:color w:val="999999"/>
              <w:sz w:val="20"/>
              <w:szCs w:val="20"/>
            </w:rPr>
            <w:t>LUPMIS2 Spatial Analysis — User Guide</w:t>
          </w:r>
        </w:p>
        <w:p w14:paraId="327B6622" w14:textId="77777777" w:rsidR="00FF00D1" w:rsidRDefault="00FF00D1" w:rsidP="00FF00D1"/>
      </w:tc>
      <w:tc>
        <w:tcPr>
          <w:tcW w:w="2976" w:type="dxa"/>
        </w:tcPr>
        <w:p w14:paraId="4309F002" w14:textId="77777777" w:rsidR="00FF00D1" w:rsidRDefault="00FF00D1" w:rsidP="00FF00D1"/>
      </w:tc>
    </w:tr>
  </w:tbl>
  <w:p w14:paraId="68F887F6" w14:textId="77777777" w:rsidR="007225A5" w:rsidRDefault="007225A5" w:rsidP="00FF00D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D14E62"/>
    <w:multiLevelType w:val="hybridMultilevel"/>
    <w:tmpl w:val="75CE0176"/>
    <w:lvl w:ilvl="0" w:tplc="8F1A652A">
      <w:start w:val="1"/>
      <w:numFmt w:val="bullet"/>
      <w:lvlText w:val="•"/>
      <w:lvlJc w:val="left"/>
      <w:pPr>
        <w:ind w:left="720" w:hanging="360"/>
      </w:pPr>
    </w:lvl>
    <w:lvl w:ilvl="1" w:tplc="8B8ACFE2">
      <w:numFmt w:val="decimal"/>
      <w:lvlText w:val=""/>
      <w:lvlJc w:val="left"/>
    </w:lvl>
    <w:lvl w:ilvl="2" w:tplc="D1D6877E">
      <w:numFmt w:val="decimal"/>
      <w:lvlText w:val=""/>
      <w:lvlJc w:val="left"/>
    </w:lvl>
    <w:lvl w:ilvl="3" w:tplc="5044C660">
      <w:numFmt w:val="decimal"/>
      <w:lvlText w:val=""/>
      <w:lvlJc w:val="left"/>
    </w:lvl>
    <w:lvl w:ilvl="4" w:tplc="E058533C">
      <w:numFmt w:val="decimal"/>
      <w:lvlText w:val=""/>
      <w:lvlJc w:val="left"/>
    </w:lvl>
    <w:lvl w:ilvl="5" w:tplc="A014B8E6">
      <w:numFmt w:val="decimal"/>
      <w:lvlText w:val=""/>
      <w:lvlJc w:val="left"/>
    </w:lvl>
    <w:lvl w:ilvl="6" w:tplc="F3C2F5A8">
      <w:numFmt w:val="decimal"/>
      <w:lvlText w:val=""/>
      <w:lvlJc w:val="left"/>
    </w:lvl>
    <w:lvl w:ilvl="7" w:tplc="CCCEA62E">
      <w:numFmt w:val="decimal"/>
      <w:lvlText w:val=""/>
      <w:lvlJc w:val="left"/>
    </w:lvl>
    <w:lvl w:ilvl="8" w:tplc="CFA44C4E">
      <w:numFmt w:val="decimal"/>
      <w:lvlText w:val=""/>
      <w:lvlJc w:val="left"/>
    </w:lvl>
  </w:abstractNum>
  <w:abstractNum w:abstractNumId="1" w15:restartNumberingAfterBreak="0">
    <w:nsid w:val="2E622A17"/>
    <w:multiLevelType w:val="hybridMultilevel"/>
    <w:tmpl w:val="CFB85480"/>
    <w:lvl w:ilvl="0" w:tplc="101E9D50">
      <w:start w:val="1"/>
      <w:numFmt w:val="bullet"/>
      <w:lvlText w:val="•"/>
      <w:lvlJc w:val="left"/>
      <w:pPr>
        <w:ind w:left="720" w:hanging="360"/>
      </w:pPr>
    </w:lvl>
    <w:lvl w:ilvl="1" w:tplc="A43AEC48">
      <w:numFmt w:val="decimal"/>
      <w:lvlText w:val=""/>
      <w:lvlJc w:val="left"/>
    </w:lvl>
    <w:lvl w:ilvl="2" w:tplc="040C8C88">
      <w:numFmt w:val="decimal"/>
      <w:lvlText w:val=""/>
      <w:lvlJc w:val="left"/>
    </w:lvl>
    <w:lvl w:ilvl="3" w:tplc="B270097C">
      <w:numFmt w:val="decimal"/>
      <w:lvlText w:val=""/>
      <w:lvlJc w:val="left"/>
    </w:lvl>
    <w:lvl w:ilvl="4" w:tplc="241CC0E8">
      <w:numFmt w:val="decimal"/>
      <w:lvlText w:val=""/>
      <w:lvlJc w:val="left"/>
    </w:lvl>
    <w:lvl w:ilvl="5" w:tplc="39061F8A">
      <w:numFmt w:val="decimal"/>
      <w:lvlText w:val=""/>
      <w:lvlJc w:val="left"/>
    </w:lvl>
    <w:lvl w:ilvl="6" w:tplc="5E568876">
      <w:numFmt w:val="decimal"/>
      <w:lvlText w:val=""/>
      <w:lvlJc w:val="left"/>
    </w:lvl>
    <w:lvl w:ilvl="7" w:tplc="C1CE8022">
      <w:numFmt w:val="decimal"/>
      <w:lvlText w:val=""/>
      <w:lvlJc w:val="left"/>
    </w:lvl>
    <w:lvl w:ilvl="8" w:tplc="358A7FE4">
      <w:numFmt w:val="decimal"/>
      <w:lvlText w:val=""/>
      <w:lvlJc w:val="left"/>
    </w:lvl>
  </w:abstractNum>
  <w:abstractNum w:abstractNumId="2" w15:restartNumberingAfterBreak="0">
    <w:nsid w:val="453F4DBC"/>
    <w:multiLevelType w:val="hybridMultilevel"/>
    <w:tmpl w:val="C7ACC4D4"/>
    <w:lvl w:ilvl="0" w:tplc="A26A4618">
      <w:start w:val="1"/>
      <w:numFmt w:val="bullet"/>
      <w:lvlText w:val="•"/>
      <w:lvlJc w:val="left"/>
      <w:pPr>
        <w:ind w:left="720" w:hanging="360"/>
      </w:pPr>
    </w:lvl>
    <w:lvl w:ilvl="1" w:tplc="6C741206">
      <w:numFmt w:val="decimal"/>
      <w:lvlText w:val=""/>
      <w:lvlJc w:val="left"/>
    </w:lvl>
    <w:lvl w:ilvl="2" w:tplc="DC5416AC">
      <w:numFmt w:val="decimal"/>
      <w:lvlText w:val=""/>
      <w:lvlJc w:val="left"/>
    </w:lvl>
    <w:lvl w:ilvl="3" w:tplc="2F3EDA46">
      <w:numFmt w:val="decimal"/>
      <w:lvlText w:val=""/>
      <w:lvlJc w:val="left"/>
    </w:lvl>
    <w:lvl w:ilvl="4" w:tplc="373E9FFC">
      <w:numFmt w:val="decimal"/>
      <w:lvlText w:val=""/>
      <w:lvlJc w:val="left"/>
    </w:lvl>
    <w:lvl w:ilvl="5" w:tplc="382C506C">
      <w:numFmt w:val="decimal"/>
      <w:lvlText w:val=""/>
      <w:lvlJc w:val="left"/>
    </w:lvl>
    <w:lvl w:ilvl="6" w:tplc="C7B0219C">
      <w:numFmt w:val="decimal"/>
      <w:lvlText w:val=""/>
      <w:lvlJc w:val="left"/>
    </w:lvl>
    <w:lvl w:ilvl="7" w:tplc="AC384D0A">
      <w:numFmt w:val="decimal"/>
      <w:lvlText w:val=""/>
      <w:lvlJc w:val="left"/>
    </w:lvl>
    <w:lvl w:ilvl="8" w:tplc="CB24CAD4">
      <w:numFmt w:val="decimal"/>
      <w:lvlText w:val=""/>
      <w:lvlJc w:val="left"/>
    </w:lvl>
  </w:abstractNum>
  <w:abstractNum w:abstractNumId="3" w15:restartNumberingAfterBreak="0">
    <w:nsid w:val="64C77784"/>
    <w:multiLevelType w:val="hybridMultilevel"/>
    <w:tmpl w:val="BBC28EB8"/>
    <w:lvl w:ilvl="0" w:tplc="C2D60420">
      <w:start w:val="1"/>
      <w:numFmt w:val="bullet"/>
      <w:lvlText w:val="●"/>
      <w:lvlJc w:val="left"/>
      <w:pPr>
        <w:ind w:left="720" w:hanging="360"/>
      </w:pPr>
    </w:lvl>
    <w:lvl w:ilvl="1" w:tplc="95FEDDB8">
      <w:start w:val="1"/>
      <w:numFmt w:val="bullet"/>
      <w:lvlText w:val="○"/>
      <w:lvlJc w:val="left"/>
      <w:pPr>
        <w:ind w:left="1440" w:hanging="360"/>
      </w:pPr>
    </w:lvl>
    <w:lvl w:ilvl="2" w:tplc="6F268602">
      <w:start w:val="1"/>
      <w:numFmt w:val="bullet"/>
      <w:lvlText w:val="■"/>
      <w:lvlJc w:val="left"/>
      <w:pPr>
        <w:ind w:left="2160" w:hanging="360"/>
      </w:pPr>
    </w:lvl>
    <w:lvl w:ilvl="3" w:tplc="6E2AB020">
      <w:start w:val="1"/>
      <w:numFmt w:val="bullet"/>
      <w:lvlText w:val="●"/>
      <w:lvlJc w:val="left"/>
      <w:pPr>
        <w:ind w:left="2880" w:hanging="360"/>
      </w:pPr>
    </w:lvl>
    <w:lvl w:ilvl="4" w:tplc="71F66538">
      <w:start w:val="1"/>
      <w:numFmt w:val="bullet"/>
      <w:lvlText w:val="○"/>
      <w:lvlJc w:val="left"/>
      <w:pPr>
        <w:ind w:left="3600" w:hanging="360"/>
      </w:pPr>
    </w:lvl>
    <w:lvl w:ilvl="5" w:tplc="6E48485E">
      <w:start w:val="1"/>
      <w:numFmt w:val="bullet"/>
      <w:lvlText w:val="■"/>
      <w:lvlJc w:val="left"/>
      <w:pPr>
        <w:ind w:left="4320" w:hanging="360"/>
      </w:pPr>
    </w:lvl>
    <w:lvl w:ilvl="6" w:tplc="CE96DC80">
      <w:start w:val="1"/>
      <w:numFmt w:val="bullet"/>
      <w:lvlText w:val="●"/>
      <w:lvlJc w:val="left"/>
      <w:pPr>
        <w:ind w:left="5040" w:hanging="360"/>
      </w:pPr>
    </w:lvl>
    <w:lvl w:ilvl="7" w:tplc="B9CECC7A">
      <w:start w:val="1"/>
      <w:numFmt w:val="bullet"/>
      <w:lvlText w:val="●"/>
      <w:lvlJc w:val="left"/>
      <w:pPr>
        <w:ind w:left="5760" w:hanging="360"/>
      </w:pPr>
    </w:lvl>
    <w:lvl w:ilvl="8" w:tplc="1134570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7D46B26"/>
    <w:multiLevelType w:val="hybridMultilevel"/>
    <w:tmpl w:val="A2CC07CC"/>
    <w:lvl w:ilvl="0" w:tplc="72CA0E8E">
      <w:start w:val="1"/>
      <w:numFmt w:val="bullet"/>
      <w:lvlText w:val="•"/>
      <w:lvlJc w:val="left"/>
      <w:pPr>
        <w:ind w:left="720" w:hanging="360"/>
      </w:pPr>
    </w:lvl>
    <w:lvl w:ilvl="1" w:tplc="C10215A8">
      <w:numFmt w:val="decimal"/>
      <w:lvlText w:val=""/>
      <w:lvlJc w:val="left"/>
    </w:lvl>
    <w:lvl w:ilvl="2" w:tplc="31469E24">
      <w:numFmt w:val="decimal"/>
      <w:lvlText w:val=""/>
      <w:lvlJc w:val="left"/>
    </w:lvl>
    <w:lvl w:ilvl="3" w:tplc="4F7EE41A">
      <w:numFmt w:val="decimal"/>
      <w:lvlText w:val=""/>
      <w:lvlJc w:val="left"/>
    </w:lvl>
    <w:lvl w:ilvl="4" w:tplc="52C25704">
      <w:numFmt w:val="decimal"/>
      <w:lvlText w:val=""/>
      <w:lvlJc w:val="left"/>
    </w:lvl>
    <w:lvl w:ilvl="5" w:tplc="B9DA91CE">
      <w:numFmt w:val="decimal"/>
      <w:lvlText w:val=""/>
      <w:lvlJc w:val="left"/>
    </w:lvl>
    <w:lvl w:ilvl="6" w:tplc="16DC6126">
      <w:numFmt w:val="decimal"/>
      <w:lvlText w:val=""/>
      <w:lvlJc w:val="left"/>
    </w:lvl>
    <w:lvl w:ilvl="7" w:tplc="5C6CFF0A">
      <w:numFmt w:val="decimal"/>
      <w:lvlText w:val=""/>
      <w:lvlJc w:val="left"/>
    </w:lvl>
    <w:lvl w:ilvl="8" w:tplc="BB762600">
      <w:numFmt w:val="decimal"/>
      <w:lvlText w:val=""/>
      <w:lvlJc w:val="left"/>
    </w:lvl>
  </w:abstractNum>
  <w:abstractNum w:abstractNumId="5" w15:restartNumberingAfterBreak="0">
    <w:nsid w:val="6E2C704A"/>
    <w:multiLevelType w:val="hybridMultilevel"/>
    <w:tmpl w:val="09904268"/>
    <w:lvl w:ilvl="0" w:tplc="08002240">
      <w:start w:val="1"/>
      <w:numFmt w:val="bullet"/>
      <w:lvlText w:val="•"/>
      <w:lvlJc w:val="left"/>
      <w:pPr>
        <w:ind w:left="720" w:hanging="360"/>
      </w:pPr>
    </w:lvl>
    <w:lvl w:ilvl="1" w:tplc="51405A52">
      <w:numFmt w:val="decimal"/>
      <w:lvlText w:val=""/>
      <w:lvlJc w:val="left"/>
    </w:lvl>
    <w:lvl w:ilvl="2" w:tplc="923A24CA">
      <w:numFmt w:val="decimal"/>
      <w:lvlText w:val=""/>
      <w:lvlJc w:val="left"/>
    </w:lvl>
    <w:lvl w:ilvl="3" w:tplc="CF08FE5E">
      <w:numFmt w:val="decimal"/>
      <w:lvlText w:val=""/>
      <w:lvlJc w:val="left"/>
    </w:lvl>
    <w:lvl w:ilvl="4" w:tplc="0792B0EA">
      <w:numFmt w:val="decimal"/>
      <w:lvlText w:val=""/>
      <w:lvlJc w:val="left"/>
    </w:lvl>
    <w:lvl w:ilvl="5" w:tplc="8E166892">
      <w:numFmt w:val="decimal"/>
      <w:lvlText w:val=""/>
      <w:lvlJc w:val="left"/>
    </w:lvl>
    <w:lvl w:ilvl="6" w:tplc="3904D9F4">
      <w:numFmt w:val="decimal"/>
      <w:lvlText w:val=""/>
      <w:lvlJc w:val="left"/>
    </w:lvl>
    <w:lvl w:ilvl="7" w:tplc="0C40744E">
      <w:numFmt w:val="decimal"/>
      <w:lvlText w:val=""/>
      <w:lvlJc w:val="left"/>
    </w:lvl>
    <w:lvl w:ilvl="8" w:tplc="69CE74E2">
      <w:numFmt w:val="decimal"/>
      <w:lvlText w:val=""/>
      <w:lvlJc w:val="left"/>
    </w:lvl>
  </w:abstractNum>
  <w:abstractNum w:abstractNumId="6" w15:restartNumberingAfterBreak="0">
    <w:nsid w:val="7BCB6157"/>
    <w:multiLevelType w:val="hybridMultilevel"/>
    <w:tmpl w:val="36025970"/>
    <w:lvl w:ilvl="0" w:tplc="7A4E9CE0">
      <w:start w:val="1"/>
      <w:numFmt w:val="bullet"/>
      <w:lvlText w:val="•"/>
      <w:lvlJc w:val="left"/>
      <w:pPr>
        <w:ind w:left="720" w:hanging="360"/>
      </w:pPr>
    </w:lvl>
    <w:lvl w:ilvl="1" w:tplc="E2709336">
      <w:numFmt w:val="decimal"/>
      <w:lvlText w:val=""/>
      <w:lvlJc w:val="left"/>
    </w:lvl>
    <w:lvl w:ilvl="2" w:tplc="2B6E6200">
      <w:numFmt w:val="decimal"/>
      <w:lvlText w:val=""/>
      <w:lvlJc w:val="left"/>
    </w:lvl>
    <w:lvl w:ilvl="3" w:tplc="F52644B4">
      <w:numFmt w:val="decimal"/>
      <w:lvlText w:val=""/>
      <w:lvlJc w:val="left"/>
    </w:lvl>
    <w:lvl w:ilvl="4" w:tplc="007E4902">
      <w:numFmt w:val="decimal"/>
      <w:lvlText w:val=""/>
      <w:lvlJc w:val="left"/>
    </w:lvl>
    <w:lvl w:ilvl="5" w:tplc="4A065B6C">
      <w:numFmt w:val="decimal"/>
      <w:lvlText w:val=""/>
      <w:lvlJc w:val="left"/>
    </w:lvl>
    <w:lvl w:ilvl="6" w:tplc="D1949016">
      <w:numFmt w:val="decimal"/>
      <w:lvlText w:val=""/>
      <w:lvlJc w:val="left"/>
    </w:lvl>
    <w:lvl w:ilvl="7" w:tplc="2D2068FE">
      <w:numFmt w:val="decimal"/>
      <w:lvlText w:val=""/>
      <w:lvlJc w:val="left"/>
    </w:lvl>
    <w:lvl w:ilvl="8" w:tplc="345027CE">
      <w:numFmt w:val="decimal"/>
      <w:lvlText w:val=""/>
      <w:lvlJc w:val="left"/>
    </w:lvl>
  </w:abstractNum>
  <w:num w:numId="1" w16cid:durableId="1472747989">
    <w:abstractNumId w:val="3"/>
    <w:lvlOverride w:ilvl="0">
      <w:startOverride w:val="1"/>
    </w:lvlOverride>
  </w:num>
  <w:num w:numId="2" w16cid:durableId="197932685">
    <w:abstractNumId w:val="5"/>
    <w:lvlOverride w:ilvl="0">
      <w:startOverride w:val="1"/>
    </w:lvlOverride>
  </w:num>
  <w:num w:numId="3" w16cid:durableId="758254462">
    <w:abstractNumId w:val="2"/>
    <w:lvlOverride w:ilvl="0">
      <w:startOverride w:val="1"/>
    </w:lvlOverride>
  </w:num>
  <w:num w:numId="4" w16cid:durableId="624507334">
    <w:abstractNumId w:val="6"/>
    <w:lvlOverride w:ilvl="0">
      <w:startOverride w:val="1"/>
    </w:lvlOverride>
  </w:num>
  <w:num w:numId="5" w16cid:durableId="1079716947">
    <w:abstractNumId w:val="0"/>
    <w:lvlOverride w:ilvl="0">
      <w:startOverride w:val="1"/>
    </w:lvlOverride>
  </w:num>
  <w:num w:numId="6" w16cid:durableId="71393775">
    <w:abstractNumId w:val="4"/>
    <w:lvlOverride w:ilvl="0">
      <w:startOverride w:val="1"/>
    </w:lvlOverride>
  </w:num>
  <w:num w:numId="7" w16cid:durableId="7343286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59"/>
  <w:displayBackgroundShape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A5"/>
    <w:rsid w:val="00064D22"/>
    <w:rsid w:val="001D5305"/>
    <w:rsid w:val="002B6AA5"/>
    <w:rsid w:val="002C33F2"/>
    <w:rsid w:val="002E7223"/>
    <w:rsid w:val="0032655B"/>
    <w:rsid w:val="003E024E"/>
    <w:rsid w:val="00474BB0"/>
    <w:rsid w:val="004F4959"/>
    <w:rsid w:val="005960E2"/>
    <w:rsid w:val="00686FA7"/>
    <w:rsid w:val="007225A5"/>
    <w:rsid w:val="00763ECD"/>
    <w:rsid w:val="007F5C09"/>
    <w:rsid w:val="008A700E"/>
    <w:rsid w:val="00922807"/>
    <w:rsid w:val="009242BA"/>
    <w:rsid w:val="009C3CE7"/>
    <w:rsid w:val="00AE2CBB"/>
    <w:rsid w:val="00BB41CB"/>
    <w:rsid w:val="00D5357A"/>
    <w:rsid w:val="00D55BC6"/>
    <w:rsid w:val="00E124F3"/>
    <w:rsid w:val="00F747BC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D5F7"/>
  <w15:docId w15:val="{AE0649B0-6F5E-D14C-B800-24698CE6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00D1"/>
  </w:style>
  <w:style w:type="paragraph" w:styleId="berschrift1">
    <w:name w:val="heading 1"/>
    <w:uiPriority w:val="9"/>
    <w:qFormat/>
    <w:pPr>
      <w:spacing w:before="360" w:after="160"/>
      <w:outlineLvl w:val="0"/>
    </w:pPr>
    <w:rPr>
      <w:b/>
      <w:bCs/>
      <w:color w:val="1E1A4B"/>
      <w:sz w:val="32"/>
      <w:szCs w:val="32"/>
    </w:rPr>
  </w:style>
  <w:style w:type="paragraph" w:styleId="berschrift2">
    <w:name w:val="heading 2"/>
    <w:uiPriority w:val="9"/>
    <w:unhideWhenUsed/>
    <w:qFormat/>
    <w:pPr>
      <w:spacing w:before="240" w:after="120"/>
      <w:outlineLvl w:val="1"/>
    </w:pPr>
    <w:rPr>
      <w:b/>
      <w:bCs/>
      <w:color w:val="1E1A4B"/>
      <w:sz w:val="26"/>
      <w:szCs w:val="26"/>
    </w:rPr>
  </w:style>
  <w:style w:type="paragraph" w:styleId="berschrift3">
    <w:name w:val="heading 3"/>
    <w:uiPriority w:val="9"/>
    <w:unhideWhenUsed/>
    <w:qFormat/>
    <w:rsid w:val="00763ECD"/>
    <w:pPr>
      <w:spacing w:after="240"/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customStyle="1" w:styleId="Style">
    <w:name w:val="Style"/>
    <w:rsid w:val="00FF00D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FF00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00D1"/>
  </w:style>
  <w:style w:type="paragraph" w:styleId="Fuzeile">
    <w:name w:val="footer"/>
    <w:basedOn w:val="Standard"/>
    <w:link w:val="FuzeileZchn"/>
    <w:uiPriority w:val="99"/>
    <w:unhideWhenUsed/>
    <w:rsid w:val="00FF00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00D1"/>
  </w:style>
  <w:style w:type="character" w:styleId="BesuchterLink">
    <w:name w:val="FollowedHyperlink"/>
    <w:basedOn w:val="Absatz-Standardschriftart"/>
    <w:uiPriority w:val="99"/>
    <w:semiHidden/>
    <w:unhideWhenUsed/>
    <w:rsid w:val="00763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pwa.lupmis4luspa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upmis.ammonvictor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wa.lupmis4lusp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pmis.ammonvictor.com" TargetMode="External"/><Relationship Id="rId14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9419</Words>
  <Characters>61321</Characters>
  <Application>Microsoft Office Word</Application>
  <DocSecurity>0</DocSecurity>
  <Lines>1657</Lines>
  <Paragraphs>1645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17</vt:i4>
      </vt:variant>
    </vt:vector>
  </HeadingPairs>
  <TitlesOfParts>
    <vt:vector size="18" baseType="lpstr">
      <vt:lpstr/>
      <vt:lpstr>1. Executive Summary</vt:lpstr>
      <vt:lpstr>2. Project Background</vt:lpstr>
      <vt:lpstr>3. Current Development Status</vt:lpstr>
      <vt:lpstr>4. Comparison with Functional Specifications</vt:lpstr>
      <vt:lpstr>5. Design &amp; Brand Compliance</vt:lpstr>
      <vt:lpstr>6. Stakeholder Engagement Summary</vt:lpstr>
      <vt:lpstr>    Key Findings</vt:lpstr>
      <vt:lpstr>    Integration Priorities</vt:lpstr>
      <vt:lpstr>7. Pilot District Workshop Feedback</vt:lpstr>
      <vt:lpstr>    Public Portal</vt:lpstr>
      <vt:lpstr>    District Backend</vt:lpstr>
      <vt:lpstr>    Drawing and Measurement Tools</vt:lpstr>
      <vt:lpstr>    Parcel Generator</vt:lpstr>
      <vt:lpstr>8. Technical Architecture Overview</vt:lpstr>
      <vt:lpstr>9. Deployment &amp; Access</vt:lpstr>
      <vt:lpstr>10. Upcoming Work &amp; Recommendations</vt:lpstr>
      <vt:lpstr>11. Conclusion</vt:lpstr>
    </vt:vector>
  </TitlesOfParts>
  <Company/>
  <LinksUpToDate>false</LinksUpToDate>
  <CharactersWithSpaces>69095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Ekkehardt Roth</cp:lastModifiedBy>
  <cp:revision>12</cp:revision>
  <dcterms:created xsi:type="dcterms:W3CDTF">2026-04-28T08:03:00Z</dcterms:created>
  <dcterms:modified xsi:type="dcterms:W3CDTF">2026-06-29T14:10:00Z</dcterms:modified>
</cp:coreProperties>
</file>