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69EA7" w14:textId="77777777" w:rsidR="007225A5" w:rsidRPr="003E024E" w:rsidRDefault="00FF00D1">
      <w:pPr>
        <w:spacing w:before="3000"/>
        <w:rPr>
          <w:lang w:val="en-GB"/>
        </w:rPr>
      </w:pPr>
      <w:r>
        <w:rPr>
          <w:rFonts w:ascii="IBM Plex Sans" w:eastAsia="Arial" w:hAnsi="IBM Plex Sans" w:cs="Arial"/>
          <w:noProof/>
          <w:lang w:val="en-GB"/>
        </w:rPr>
        <w:drawing>
          <wp:anchor distT="0" distB="0" distL="114300" distR="114300" simplePos="0" relativeHeight="251659264" behindDoc="1" locked="0" layoutInCell="1" allowOverlap="1" wp14:anchorId="1BDEF08B" wp14:editId="52BED425">
            <wp:simplePos x="0" y="0"/>
            <wp:positionH relativeFrom="column">
              <wp:posOffset>79375</wp:posOffset>
            </wp:positionH>
            <wp:positionV relativeFrom="paragraph">
              <wp:posOffset>701813</wp:posOffset>
            </wp:positionV>
            <wp:extent cx="6094730" cy="8616950"/>
            <wp:effectExtent l="0" t="0" r="1270" b="6350"/>
            <wp:wrapNone/>
            <wp:docPr id="13547029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02900" name="Grafik 1354702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4730" cy="8616950"/>
                    </a:xfrm>
                    <a:prstGeom prst="rect">
                      <a:avLst/>
                    </a:prstGeom>
                  </pic:spPr>
                </pic:pic>
              </a:graphicData>
            </a:graphic>
            <wp14:sizeRelH relativeFrom="margin">
              <wp14:pctWidth>0</wp14:pctWidth>
            </wp14:sizeRelH>
            <wp14:sizeRelV relativeFrom="margin">
              <wp14:pctHeight>0</wp14:pctHeight>
            </wp14:sizeRelV>
          </wp:anchor>
        </w:drawing>
      </w:r>
    </w:p>
    <w:p w14:paraId="3CD155B8" w14:textId="77777777" w:rsidR="00FF00D1" w:rsidRPr="003E024E" w:rsidRDefault="00FF00D1" w:rsidP="00FF00D1">
      <w:pPr>
        <w:pStyle w:val="Style"/>
        <w:spacing w:line="946" w:lineRule="exact"/>
        <w:ind w:left="1718"/>
        <w:textAlignment w:val="baseline"/>
        <w:rPr>
          <w:rFonts w:ascii="IBM Plex Sans" w:hAnsi="IBM Plex Sans"/>
          <w:lang w:val="en-GB"/>
        </w:rPr>
      </w:pPr>
      <w:r>
        <w:rPr>
          <w:rFonts w:ascii="IBM Plex Sans" w:eastAsia="Courier New" w:hAnsi="IBM Plex Sans" w:cs="Courier New"/>
          <w:w w:val="78"/>
          <w:sz w:val="76"/>
          <w:szCs w:val="76"/>
          <w:lang w:val="en-GB"/>
        </w:rPr>
        <w:t>GHANA</w:t>
      </w:r>
    </w:p>
    <w:p w14:paraId="45D240A5" w14:textId="77777777" w:rsidR="00FF00D1" w:rsidRPr="003E024E" w:rsidRDefault="00FF00D1" w:rsidP="00FF00D1">
      <w:pPr>
        <w:pStyle w:val="Style"/>
        <w:spacing w:before="4" w:line="432" w:lineRule="exact"/>
        <w:ind w:left="1704"/>
        <w:textAlignment w:val="baseline"/>
        <w:rPr>
          <w:rFonts w:ascii="IBM Plex Sans" w:hAnsi="IBM Plex Sans"/>
          <w:lang w:val="en-GB"/>
        </w:rPr>
      </w:pPr>
      <w:r>
        <w:rPr>
          <w:rFonts w:ascii="IBM Plex Sans" w:eastAsia="Arial" w:hAnsi="IBM Plex Sans" w:cs="Arial"/>
          <w:sz w:val="31"/>
          <w:szCs w:val="31"/>
          <w:lang w:val="en-GB"/>
        </w:rPr>
        <w:t xml:space="preserve">Development of a Spatial Planning and Management Information System for Ghana </w:t>
      </w:r>
    </w:p>
    <w:p w14:paraId="2E06DAC0" w14:textId="77777777" w:rsidR="00FF00D1" w:rsidRPr="003E024E" w:rsidRDefault="00FF00D1" w:rsidP="00FF00D1">
      <w:pPr>
        <w:spacing w:before="240"/>
        <w:jc w:val="center"/>
        <w:rPr>
          <w:rFonts w:ascii="IBM Plex Sans" w:eastAsia="Arial" w:hAnsi="IBM Plex Sans" w:cs="Arial"/>
          <w:lang w:val="en-GB"/>
        </w:rPr>
      </w:pPr>
      <w:r>
        <w:rPr>
          <w:b/>
          <w:bCs/>
          <w:color w:val="1E1A4B"/>
          <w:sz w:val="28"/>
          <w:szCs w:val="28"/>
          <w:lang w:val="en-GB"/>
        </w:rPr>
        <w:t xml:space="preserve">LUPMIS2 </w:t>
      </w:r>
      <w:r>
        <w:rPr>
          <w:rFonts w:ascii="IBM Plex Sans" w:eastAsia="Arial" w:hAnsi="IBM Plex Sans" w:cs="Arial"/>
          <w:lang w:val="en-GB"/>
        </w:rPr>
        <w:t xml:space="preserve">GIS Analytical Tools </w:t>
      </w:r>
    </w:p>
    <w:p w14:paraId="5802C54D" w14:textId="77777777" w:rsidR="00FF00D1" w:rsidRPr="003E024E" w:rsidRDefault="00FF00D1" w:rsidP="00FF00D1">
      <w:pPr>
        <w:spacing w:before="240"/>
        <w:jc w:val="center"/>
        <w:rPr>
          <w:rFonts w:ascii="IBM Plex Sans" w:eastAsia="Arial" w:hAnsi="IBM Plex Sans" w:cs="Arial"/>
          <w:lang w:val="en-GB"/>
        </w:rPr>
      </w:pPr>
      <w:r>
        <w:rPr>
          <w:rFonts w:ascii="IBM Plex Sans" w:eastAsia="Arial" w:hAnsi="IBM Plex Sans" w:cs="Arial"/>
          <w:lang w:val="en-GB"/>
        </w:rPr>
        <w:t>Concept Note  ·  July 2026</w:t>
      </w:r>
    </w:p>
    <w:p w14:paraId="7D57F4BC" w14:textId="77777777" w:rsidR="007225A5" w:rsidRPr="003E024E" w:rsidRDefault="007225A5">
      <w:pPr>
        <w:jc w:val="center"/>
        <w:rPr>
          <w:lang w:val="en-GB"/>
        </w:rPr>
      </w:pPr>
    </w:p>
    <w:p w14:paraId="3254C15D" w14:textId="77777777" w:rsidR="007225A5" w:rsidRPr="003E024E" w:rsidRDefault="007225A5">
      <w:pPr>
        <w:rPr>
          <w:lang w:val="en-GB"/>
        </w:rPr>
        <w:sectPr w:rsidR="007225A5" w:rsidRPr="003E024E">
          <w:pgSz w:w="11906" w:h="16838"/>
          <w:pgMar w:top="1440" w:right="1440" w:bottom="1440" w:left="1440" w:header="708" w:footer="708" w:gutter="0"/>
          <w:cols w:space="720"/>
          <w:docGrid w:linePitch="360"/>
        </w:sectPr>
      </w:pPr>
    </w:p>
    <w:p>
      <w:pPr>
        <w:pStyle w:val="berschrift1"/>
      </w:pPr>
      <w:r>
        <w:t>GIS Analytical Tools — Concept Note</w:t>
      </w:r>
    </w:p>
    <w:p>
      <w:pPr>
        <w:spacing w:after="200"/>
      </w:pPr>
      <w:r>
        <w:rPr>
          <w:rFonts w:ascii="Calibri" w:hAnsi="Calibri"/>
          <w:b w:val="0"/>
          <w:i/>
          <w:color w:val="6B7280"/>
          <w:sz w:val="20"/>
        </w:rPr>
        <w:t>Prepared for LUSPA and the Technical Working Group  ·  LUPMIS2 project  ·  July 2026</w:t>
      </w:r>
    </w:p>
    <w:p>
      <w:pPr>
        <w:pStyle w:val="berschrift1"/>
      </w:pPr>
      <w:r>
        <w:t>1. Executive Summary</w:t>
      </w:r>
    </w:p>
    <w:p>
      <w:pPr>
        <w:spacing w:after="120"/>
      </w:pPr>
      <w:r>
        <w:rPr>
          <w:rFonts w:ascii="Calibri" w:hAnsi="Calibri"/>
          <w:b w:val="0"/>
          <w:i w:val="0"/>
          <w:color w:val="333333"/>
          <w:sz w:val="22"/>
        </w:rPr>
        <w:t>LUSPA has requested a set of spatial-analysis tools for LUPMIS2 — Overlays, Zonal Statistics, Network Analysis, Interpolation, and Hydrology (including flood simulation). These operate mainly on raster data (elevation, imagery, modelled surfaces) but several also apply to the existing vector data (parcels, zones, and the OSM road network). This note sets out a pragmatic concept for adding these capabilities to the LUPMIS2 GIS and drawing tools.</w:t>
      </w:r>
    </w:p>
    <w:p>
      <w:pPr>
        <w:spacing w:after="120"/>
      </w:pPr>
      <w:r>
        <w:rPr>
          <w:rFonts w:ascii="Calibri" w:hAnsi="Calibri"/>
          <w:b w:val="0"/>
          <w:i w:val="0"/>
          <w:color w:val="333333"/>
          <w:sz w:val="22"/>
        </w:rPr>
        <w:t xml:space="preserve">The recommended approach is a </w:t>
      </w:r>
      <w:r>
        <w:rPr>
          <w:rFonts w:ascii="Calibri" w:hAnsi="Calibri"/>
          <w:b/>
          <w:i w:val="0"/>
          <w:color w:val="333333"/>
          <w:sz w:val="22"/>
        </w:rPr>
        <w:t>hybrid architecture</w:t>
      </w:r>
      <w:r>
        <w:rPr>
          <w:rFonts w:ascii="Calibri" w:hAnsi="Calibri"/>
          <w:b w:val="0"/>
          <w:i w:val="0"/>
          <w:color w:val="333333"/>
          <w:sz w:val="22"/>
        </w:rPr>
        <w:t>: lightweight vector operations run in the browser (offline-capable), while heavy raster and network analysis run server-side on the existing PostgreSQL/PostGIS platform, with results returned to the map and cached for re-use. This reuses infrastructure LUSPA already operates and keeps the client responsive.</w:t>
      </w:r>
    </w:p>
    <w:p>
      <w:pPr>
        <w:spacing w:after="120"/>
      </w:pPr>
      <w:r>
        <w:rPr>
          <w:rFonts w:ascii="Calibri" w:hAnsi="Calibri"/>
          <w:b w:val="0"/>
          <w:i w:val="0"/>
          <w:color w:val="333333"/>
          <w:sz w:val="22"/>
        </w:rPr>
        <w:t xml:space="preserve">Delivery is </w:t>
      </w:r>
      <w:r>
        <w:rPr>
          <w:rFonts w:ascii="Calibri" w:hAnsi="Calibri"/>
          <w:b/>
          <w:i w:val="0"/>
          <w:color w:val="333333"/>
          <w:sz w:val="22"/>
        </w:rPr>
        <w:t>staged</w:t>
      </w:r>
      <w:r>
        <w:rPr>
          <w:rFonts w:ascii="Calibri" w:hAnsi="Calibri"/>
          <w:b w:val="0"/>
          <w:i w:val="0"/>
          <w:color w:val="333333"/>
          <w:sz w:val="22"/>
        </w:rPr>
        <w:t>. Stage 1 delivers immediately useful, low-maintenance tools (vector overlays and zonal statistics) on the current stack. Stage 2 adds interpolation, network analysis, and a raster-upload pipeline. Stage 3 covers hydrology and flood simulation — the most valuable but also the most technically demanding tier, requiring specialist GIS/hydrology skills and heavier compute. Section 10 is explicit about what a small team can sustain and what is possible but high-maintenance.</w:t>
      </w:r>
    </w:p>
    <w:p>
      <w:pPr>
        <w:pStyle w:val="berschrift1"/>
      </w:pPr>
      <w:r>
        <w:t>2. Background — What LUSPA Asked For</w:t>
      </w:r>
    </w:p>
    <w:p>
      <w:pPr>
        <w:spacing w:after="120"/>
      </w:pPr>
      <w:r>
        <w:rPr>
          <w:rFonts w:ascii="Calibri" w:hAnsi="Calibri"/>
          <w:b w:val="0"/>
          <w:i w:val="0"/>
          <w:color w:val="333333"/>
          <w:sz w:val="22"/>
        </w:rPr>
        <w:t>During the pilot-district engagement, LUSPA asked for a broader set of analytical tools so that LUPMIS2 can support planning decisions directly, rather than only capturing and displaying data. Five tool families were named:</w:t>
      </w:r>
    </w:p>
    <w:p>
      <w:pPr>
        <w:spacing w:after="60"/>
        <w:ind w:left="403" w:hanging="259"/>
      </w:pPr>
      <w:r>
        <w:rPr>
          <w:rFonts w:ascii="Calibri" w:hAnsi="Calibri"/>
          <w:b/>
          <w:color w:val="1E1A4B"/>
          <w:sz w:val="22"/>
        </w:rPr>
        <w:t>•</w:t>
        <w:tab/>
      </w:r>
      <w:r>
        <w:rPr>
          <w:rFonts w:ascii="Calibri" w:hAnsi="Calibri"/>
          <w:b/>
          <w:i w:val="0"/>
          <w:color w:val="333333"/>
          <w:sz w:val="22"/>
        </w:rPr>
        <w:t>Overlays</w:t>
      </w:r>
      <w:r>
        <w:rPr>
          <w:rFonts w:ascii="Calibri" w:hAnsi="Calibri"/>
          <w:b w:val="0"/>
          <w:i w:val="0"/>
          <w:color w:val="333333"/>
          <w:sz w:val="22"/>
        </w:rPr>
        <w:t xml:space="preserve"> — combine two or more layers to find where they intersect, differ, or coincide (e.g. parcels within a flood zone).</w:t>
      </w:r>
    </w:p>
    <w:p>
      <w:pPr>
        <w:spacing w:after="60"/>
        <w:ind w:left="403" w:hanging="259"/>
      </w:pPr>
      <w:r>
        <w:rPr>
          <w:rFonts w:ascii="Calibri" w:hAnsi="Calibri"/>
          <w:b/>
          <w:color w:val="1E1A4B"/>
          <w:sz w:val="22"/>
        </w:rPr>
        <w:t>•</w:t>
        <w:tab/>
      </w:r>
      <w:r>
        <w:rPr>
          <w:rFonts w:ascii="Calibri" w:hAnsi="Calibri"/>
          <w:b/>
          <w:i w:val="0"/>
          <w:color w:val="333333"/>
          <w:sz w:val="22"/>
        </w:rPr>
        <w:t>Zonal Statistics</w:t>
      </w:r>
      <w:r>
        <w:rPr>
          <w:rFonts w:ascii="Calibri" w:hAnsi="Calibri"/>
          <w:b w:val="0"/>
          <w:i w:val="0"/>
          <w:color w:val="333333"/>
          <w:sz w:val="22"/>
        </w:rPr>
        <w:t xml:space="preserve"> — summarise raster values within each vector zone (e.g. mean slope or elevation per parcel).</w:t>
      </w:r>
    </w:p>
    <w:p>
      <w:pPr>
        <w:spacing w:after="60"/>
        <w:ind w:left="403" w:hanging="259"/>
      </w:pPr>
      <w:r>
        <w:rPr>
          <w:rFonts w:ascii="Calibri" w:hAnsi="Calibri"/>
          <w:b/>
          <w:color w:val="1E1A4B"/>
          <w:sz w:val="22"/>
        </w:rPr>
        <w:t>•</w:t>
        <w:tab/>
      </w:r>
      <w:r>
        <w:rPr>
          <w:rFonts w:ascii="Calibri" w:hAnsi="Calibri"/>
          <w:b/>
          <w:i w:val="0"/>
          <w:color w:val="333333"/>
          <w:sz w:val="22"/>
        </w:rPr>
        <w:t>Network Analysis</w:t>
      </w:r>
      <w:r>
        <w:rPr>
          <w:rFonts w:ascii="Calibri" w:hAnsi="Calibri"/>
          <w:b w:val="0"/>
          <w:i w:val="0"/>
          <w:color w:val="333333"/>
          <w:sz w:val="22"/>
        </w:rPr>
        <w:t xml:space="preserve"> — routing and accessibility over the road network (shortest path, service/catchment areas).</w:t>
      </w:r>
    </w:p>
    <w:p>
      <w:pPr>
        <w:spacing w:after="60"/>
        <w:ind w:left="403" w:hanging="259"/>
      </w:pPr>
      <w:r>
        <w:rPr>
          <w:rFonts w:ascii="Calibri" w:hAnsi="Calibri"/>
          <w:b/>
          <w:color w:val="1E1A4B"/>
          <w:sz w:val="22"/>
        </w:rPr>
        <w:t>•</w:t>
        <w:tab/>
      </w:r>
      <w:r>
        <w:rPr>
          <w:rFonts w:ascii="Calibri" w:hAnsi="Calibri"/>
          <w:b/>
          <w:i w:val="0"/>
          <w:color w:val="333333"/>
          <w:sz w:val="22"/>
        </w:rPr>
        <w:t>Interpolation</w:t>
      </w:r>
      <w:r>
        <w:rPr>
          <w:rFonts w:ascii="Calibri" w:hAnsi="Calibri"/>
          <w:b w:val="0"/>
          <w:i w:val="0"/>
          <w:color w:val="333333"/>
          <w:sz w:val="22"/>
        </w:rPr>
        <w:t xml:space="preserve"> — build a continuous surface from scattered sample points (e.g. groundwater levels, land values).</w:t>
      </w:r>
    </w:p>
    <w:p>
      <w:pPr>
        <w:spacing w:after="60"/>
        <w:ind w:left="403" w:hanging="259"/>
      </w:pPr>
      <w:r>
        <w:rPr>
          <w:rFonts w:ascii="Calibri" w:hAnsi="Calibri"/>
          <w:b/>
          <w:color w:val="1E1A4B"/>
          <w:sz w:val="22"/>
        </w:rPr>
        <w:t>•</w:t>
        <w:tab/>
      </w:r>
      <w:r>
        <w:rPr>
          <w:rFonts w:ascii="Calibri" w:hAnsi="Calibri"/>
          <w:b/>
          <w:i w:val="0"/>
          <w:color w:val="333333"/>
          <w:sz w:val="22"/>
        </w:rPr>
        <w:t>Hydrology</w:t>
      </w:r>
      <w:r>
        <w:rPr>
          <w:rFonts w:ascii="Calibri" w:hAnsi="Calibri"/>
          <w:b w:val="0"/>
          <w:i w:val="0"/>
          <w:color w:val="333333"/>
          <w:sz w:val="22"/>
        </w:rPr>
        <w:t xml:space="preserve"> — derive drainage and simulate flooding/inundation from a digital elevation model (DEM).</w:t>
      </w:r>
    </w:p>
    <w:p>
      <w:pPr>
        <w:spacing w:after="120"/>
      </w:pPr>
      <w:r>
        <w:rPr>
          <w:rFonts w:ascii="Calibri" w:hAnsi="Calibri"/>
          <w:b w:val="0"/>
          <w:i w:val="0"/>
          <w:color w:val="333333"/>
          <w:sz w:val="22"/>
        </w:rPr>
        <w:t>The request is primarily raster-oriented, but the outputs are most useful when combined with the vector planning data already in LUPMIS2. The concept therefore treats raster and vector as complementary throughout.</w:t>
      </w:r>
    </w:p>
    <w:p>
      <w:pPr>
        <w:pStyle w:val="berschrift1"/>
      </w:pPr>
      <w:r>
        <w:t>3. Where LUPMIS2 Stands Today</w:t>
      </w:r>
    </w:p>
    <w:p>
      <w:pPr>
        <w:spacing w:after="120"/>
      </w:pPr>
      <w:r>
        <w:rPr>
          <w:rFonts w:ascii="Calibri" w:hAnsi="Calibri"/>
          <w:b w:val="0"/>
          <w:i w:val="0"/>
          <w:color w:val="333333"/>
          <w:sz w:val="22"/>
        </w:rPr>
        <w:t>LUPMIS2 already provides a strong vector foundation on which these tools can build:</w:t>
      </w:r>
    </w:p>
    <w:p>
      <w:pPr>
        <w:spacing w:after="60"/>
        <w:ind w:left="403" w:hanging="259"/>
      </w:pPr>
      <w:r>
        <w:rPr>
          <w:rFonts w:ascii="Calibri" w:hAnsi="Calibri"/>
          <w:b/>
          <w:color w:val="1E1A4B"/>
          <w:sz w:val="22"/>
        </w:rPr>
        <w:t>•</w:t>
        <w:tab/>
      </w:r>
      <w:r>
        <w:rPr>
          <w:rFonts w:ascii="Calibri" w:hAnsi="Calibri"/>
          <w:b w:val="0"/>
          <w:i w:val="0"/>
          <w:color w:val="333333"/>
          <w:sz w:val="22"/>
        </w:rPr>
        <w:t>Map, drawing and editing (OpenLayers + ol-ext) with parcels, zones and OSM roads.</w:t>
      </w:r>
    </w:p>
    <w:p>
      <w:pPr>
        <w:spacing w:after="60"/>
        <w:ind w:left="403" w:hanging="259"/>
      </w:pPr>
      <w:r>
        <w:rPr>
          <w:rFonts w:ascii="Calibri" w:hAnsi="Calibri"/>
          <w:b/>
          <w:color w:val="1E1A4B"/>
          <w:sz w:val="22"/>
        </w:rPr>
        <w:t>•</w:t>
        <w:tab/>
      </w:r>
      <w:r>
        <w:rPr>
          <w:rFonts w:ascii="Calibri" w:hAnsi="Calibri"/>
          <w:b w:val="0"/>
          <w:i w:val="0"/>
          <w:color w:val="333333"/>
          <w:sz w:val="22"/>
        </w:rPr>
        <w:t>A central PostgreSQL/PostGIS database with a local SQLite (OPFS) cache and offline service-worker tiles.</w:t>
      </w:r>
    </w:p>
    <w:p>
      <w:pPr>
        <w:spacing w:after="60"/>
        <w:ind w:left="403" w:hanging="259"/>
      </w:pPr>
      <w:r>
        <w:rPr>
          <w:rFonts w:ascii="Calibri" w:hAnsi="Calibri"/>
          <w:b/>
          <w:color w:val="1E1A4B"/>
          <w:sz w:val="22"/>
        </w:rPr>
        <w:t>•</w:t>
        <w:tab/>
      </w:r>
      <w:r>
        <w:rPr>
          <w:rFonts w:ascii="Calibri" w:hAnsi="Calibri"/>
          <w:b w:val="0"/>
          <w:i w:val="0"/>
          <w:color w:val="333333"/>
          <w:sz w:val="22"/>
        </w:rPr>
        <w:t>Measurement and area/buffer analysis, GIS import/export (Shapefile, GeoJSON, KML), and a staged upload pipeline.</w:t>
      </w:r>
    </w:p>
    <w:p>
      <w:pPr>
        <w:spacing w:after="60"/>
        <w:ind w:left="403" w:hanging="259"/>
      </w:pPr>
      <w:r>
        <w:rPr>
          <w:rFonts w:ascii="Calibri" w:hAnsi="Calibri"/>
          <w:b/>
          <w:color w:val="1E1A4B"/>
          <w:sz w:val="22"/>
        </w:rPr>
        <w:t>•</w:t>
        <w:tab/>
      </w:r>
      <w:r>
        <w:rPr>
          <w:rFonts w:ascii="Calibri" w:hAnsi="Calibri"/>
          <w:b/>
          <w:i w:val="0"/>
          <w:color w:val="333333"/>
          <w:sz w:val="22"/>
        </w:rPr>
        <w:t>An elevation dataset already exists in-house.</w:t>
      </w:r>
      <w:r>
        <w:rPr>
          <w:rFonts w:ascii="Calibri" w:hAnsi="Calibri"/>
          <w:b w:val="0"/>
          <w:i w:val="0"/>
          <w:color w:val="333333"/>
          <w:sz w:val="22"/>
        </w:rPr>
        <w:t xml:space="preserve"> District-scoped elevation contours (spatial.be_contours_hillshade) — polylines generated with gdal_contour at 10–20 m intervals from OpenTopography's SRTM 30 m / Copernicus 30 m DEM, and spatially indexed — a ready terrain basis for the analytical tools.</w:t>
      </w:r>
    </w:p>
    <w:p>
      <w:pPr>
        <w:spacing w:after="120"/>
      </w:pPr>
      <w:r>
        <w:rPr>
          <w:rFonts w:ascii="Calibri" w:hAnsi="Calibri"/>
          <w:b w:val="0"/>
          <w:i w:val="0"/>
          <w:color w:val="333333"/>
          <w:sz w:val="22"/>
        </w:rPr>
        <w:t xml:space="preserve">The main gaps are </w:t>
      </w:r>
      <w:r>
        <w:rPr>
          <w:rFonts w:ascii="Calibri" w:hAnsi="Calibri"/>
          <w:b/>
          <w:i w:val="0"/>
          <w:color w:val="333333"/>
          <w:sz w:val="22"/>
        </w:rPr>
        <w:t>raster handling</w:t>
      </w:r>
      <w:r>
        <w:rPr>
          <w:rFonts w:ascii="Calibri" w:hAnsi="Calibri"/>
          <w:b w:val="0"/>
          <w:i w:val="0"/>
          <w:color w:val="333333"/>
          <w:sz w:val="22"/>
        </w:rPr>
        <w:t xml:space="preserve"> (no GeoTIFF display or raster analysis today) and </w:t>
      </w:r>
      <w:r>
        <w:rPr>
          <w:rFonts w:ascii="Calibri" w:hAnsi="Calibri"/>
          <w:b/>
          <w:i w:val="0"/>
          <w:color w:val="333333"/>
          <w:sz w:val="22"/>
        </w:rPr>
        <w:t>geoprocessing</w:t>
      </w:r>
      <w:r>
        <w:rPr>
          <w:rFonts w:ascii="Calibri" w:hAnsi="Calibri"/>
          <w:b w:val="0"/>
          <w:i w:val="0"/>
          <w:color w:val="333333"/>
          <w:sz w:val="22"/>
        </w:rPr>
        <w:t xml:space="preserve"> (no overlay, zonal, routing, interpolation, or hydrology operations). Both are addressed below.</w:t>
      </w:r>
    </w:p>
    <w:p>
      <w:pPr>
        <w:pStyle w:val="berschrift1"/>
      </w:pPr>
      <w:r>
        <w:t>4. Guiding Principles</w:t>
      </w:r>
    </w:p>
    <w:p>
      <w:pPr>
        <w:spacing w:after="60"/>
        <w:ind w:left="403" w:hanging="259"/>
      </w:pPr>
      <w:r>
        <w:rPr>
          <w:rFonts w:ascii="Calibri" w:hAnsi="Calibri"/>
          <w:b/>
          <w:color w:val="1E1A4B"/>
          <w:sz w:val="22"/>
        </w:rPr>
        <w:t>•</w:t>
        <w:tab/>
      </w:r>
      <w:r>
        <w:rPr>
          <w:rFonts w:ascii="Calibri" w:hAnsi="Calibri"/>
          <w:b/>
          <w:i w:val="0"/>
          <w:color w:val="333333"/>
          <w:sz w:val="22"/>
        </w:rPr>
        <w:t>Reuse before rebuild.</w:t>
      </w:r>
      <w:r>
        <w:rPr>
          <w:rFonts w:ascii="Calibri" w:hAnsi="Calibri"/>
          <w:b w:val="0"/>
          <w:i w:val="0"/>
          <w:color w:val="333333"/>
          <w:sz w:val="22"/>
        </w:rPr>
        <w:t xml:space="preserve"> PostGIS already performs most vector overlays and zonal statistics; pgRouting adds network analysis with no new server. Prefer these over new engines.</w:t>
      </w:r>
    </w:p>
    <w:p>
      <w:pPr>
        <w:spacing w:after="60"/>
        <w:ind w:left="403" w:hanging="259"/>
      </w:pPr>
      <w:r>
        <w:rPr>
          <w:rFonts w:ascii="Calibri" w:hAnsi="Calibri"/>
          <w:b/>
          <w:color w:val="1E1A4B"/>
          <w:sz w:val="22"/>
        </w:rPr>
        <w:t>•</w:t>
        <w:tab/>
      </w:r>
      <w:r>
        <w:rPr>
          <w:rFonts w:ascii="Calibri" w:hAnsi="Calibri"/>
          <w:b/>
          <w:i w:val="0"/>
          <w:color w:val="333333"/>
          <w:sz w:val="22"/>
        </w:rPr>
        <w:t>Right tier for the job.</w:t>
      </w:r>
      <w:r>
        <w:rPr>
          <w:rFonts w:ascii="Calibri" w:hAnsi="Calibri"/>
          <w:b w:val="0"/>
          <w:i w:val="0"/>
          <w:color w:val="333333"/>
          <w:sz w:val="22"/>
        </w:rPr>
        <w:t xml:space="preserve"> Light vector ops run client-side (offline); heavy raster/network jobs run server-side and return results to the map.</w:t>
      </w:r>
    </w:p>
    <w:p>
      <w:pPr>
        <w:spacing w:after="60"/>
        <w:ind w:left="403" w:hanging="259"/>
      </w:pPr>
      <w:r>
        <w:rPr>
          <w:rFonts w:ascii="Calibri" w:hAnsi="Calibri"/>
          <w:b/>
          <w:color w:val="1E1A4B"/>
          <w:sz w:val="22"/>
        </w:rPr>
        <w:t>•</w:t>
        <w:tab/>
      </w:r>
      <w:r>
        <w:rPr>
          <w:rFonts w:ascii="Calibri" w:hAnsi="Calibri"/>
          <w:b/>
          <w:i w:val="0"/>
          <w:color w:val="333333"/>
          <w:sz w:val="22"/>
        </w:rPr>
        <w:t>Staged and independently useful.</w:t>
      </w:r>
      <w:r>
        <w:rPr>
          <w:rFonts w:ascii="Calibri" w:hAnsi="Calibri"/>
          <w:b w:val="0"/>
          <w:i w:val="0"/>
          <w:color w:val="333333"/>
          <w:sz w:val="22"/>
        </w:rPr>
        <w:t xml:space="preserve"> Each stage ships value on its own; nothing depends on the hardest tier being built first.</w:t>
      </w:r>
    </w:p>
    <w:p>
      <w:pPr>
        <w:spacing w:after="60"/>
        <w:ind w:left="403" w:hanging="259"/>
      </w:pPr>
      <w:r>
        <w:rPr>
          <w:rFonts w:ascii="Calibri" w:hAnsi="Calibri"/>
          <w:b/>
          <w:color w:val="1E1A4B"/>
          <w:sz w:val="22"/>
        </w:rPr>
        <w:t>•</w:t>
        <w:tab/>
      </w:r>
      <w:r>
        <w:rPr>
          <w:rFonts w:ascii="Calibri" w:hAnsi="Calibri"/>
          <w:b/>
          <w:i w:val="0"/>
          <w:color w:val="333333"/>
          <w:sz w:val="22"/>
        </w:rPr>
        <w:t>Honest about maintenance.</w:t>
      </w:r>
      <w:r>
        <w:rPr>
          <w:rFonts w:ascii="Calibri" w:hAnsi="Calibri"/>
          <w:b w:val="0"/>
          <w:i w:val="0"/>
          <w:color w:val="333333"/>
          <w:sz w:val="22"/>
        </w:rPr>
        <w:t xml:space="preserve"> Advanced hydrology is flagged as specialist work, not hidden inside an optimistic timeline.</w:t>
      </w:r>
    </w:p>
    <w:p>
      <w:pPr>
        <w:pStyle w:val="berschrift1"/>
      </w:pPr>
      <w:r>
        <w:t>5. Recommended Architecture — Hybrid</w:t>
      </w:r>
    </w:p>
    <w:p>
      <w:pPr>
        <w:spacing w:after="120"/>
      </w:pPr>
      <w:r>
        <w:rPr>
          <w:rFonts w:ascii="Calibri" w:hAnsi="Calibri"/>
          <w:b w:val="0"/>
          <w:i w:val="0"/>
          <w:color w:val="333333"/>
          <w:sz w:val="22"/>
        </w:rPr>
        <w:t>Analytical work is split across two tiers. The client runs the user interface and light vector operations; the server runs data-intensive geoprocessing as asynchronous jobs and returns compact results the map can draw. Results are cached locally so a completed analysis remains available offline.</w:t>
      </w:r>
    </w:p>
    <w:p>
      <w:pPr>
        <w:jc w:val="center"/>
      </w:pPr>
      <w:r>
        <w:drawing>
          <wp:inline xmlns:a="http://schemas.openxmlformats.org/drawingml/2006/main" xmlns:pic="http://schemas.openxmlformats.org/drawingml/2006/picture">
            <wp:extent cx="5760720" cy="3291840"/>
            <wp:docPr id="1354702901" name="Picture 1354702901"/>
            <wp:cNvGraphicFramePr>
              <a:graphicFrameLocks noChangeAspect="1"/>
            </wp:cNvGraphicFramePr>
            <a:graphic>
              <a:graphicData uri="http://schemas.openxmlformats.org/drawingml/2006/picture">
                <pic:pic>
                  <pic:nvPicPr>
                    <pic:cNvPr id="0" name="analytics_arch.png"/>
                    <pic:cNvPicPr/>
                  </pic:nvPicPr>
                  <pic:blipFill>
                    <a:blip r:embed="rId17"/>
                    <a:stretch>
                      <a:fillRect/>
                    </a:stretch>
                  </pic:blipFill>
                  <pic:spPr>
                    <a:xfrm>
                      <a:off x="0" y="0"/>
                      <a:ext cx="5760720" cy="3291840"/>
                    </a:xfrm>
                    <a:prstGeom prst="rect"/>
                  </pic:spPr>
                </pic:pic>
              </a:graphicData>
            </a:graphic>
          </wp:inline>
        </w:drawing>
      </w:r>
    </w:p>
    <w:p>
      <w:pPr>
        <w:spacing w:after="160"/>
        <w:jc w:val="center"/>
      </w:pPr>
      <w:r>
        <w:rPr>
          <w:i/>
          <w:color w:val="6B7280"/>
          <w:sz w:val="18"/>
        </w:rPr>
        <w:t>Figure 1 — Hybrid architecture for LUPMIS2 analytical tools.</w:t>
      </w:r>
    </w:p>
    <w:p>
      <w:pPr>
        <w:keepNext/>
        <w:spacing w:after="60"/>
      </w:pPr>
      <w:r>
        <w:rPr>
          <w:rFonts w:ascii="Calibri" w:hAnsi="Calibri"/>
          <w:b/>
          <w:i w:val="0"/>
          <w:color w:val="1E1A4B"/>
          <w:sz w:val="22"/>
        </w:rPr>
        <w:t>Who does what</w:t>
      </w:r>
      <w:r>
        <w:rPr>
          <w:rFonts w:ascii="Calibri" w:hAnsi="Calibri"/>
          <w:b w:val="0"/>
          <w:i w:val="0"/>
          <w:color w:val="333333"/>
          <w:sz w:val="22"/>
        </w:rPr>
        <w:t>:</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3600"/>
            <w:shd w:val="clear" w:fill="1E1A4B"/>
          </w:tcPr>
          <w:p>
            <w:pPr>
              <w:spacing w:after="20" w:before="20"/>
            </w:pPr>
            <w:r/>
            <w:r>
              <w:rPr>
                <w:rFonts w:ascii="Calibri" w:hAnsi="Calibri"/>
                <w:b/>
                <w:color w:val="FFFFFF"/>
                <w:sz w:val="20"/>
              </w:rPr>
              <w:t>Concern</w:t>
            </w:r>
          </w:p>
        </w:tc>
        <w:tc>
          <w:tcPr>
            <w:tcW w:type="dxa" w:w="1584"/>
            <w:shd w:val="clear" w:fill="1E1A4B"/>
          </w:tcPr>
          <w:p>
            <w:pPr>
              <w:spacing w:after="20" w:before="20"/>
            </w:pPr>
            <w:r/>
            <w:r>
              <w:rPr>
                <w:rFonts w:ascii="Calibri" w:hAnsi="Calibri"/>
                <w:b/>
                <w:color w:val="FFFFFF"/>
                <w:sz w:val="20"/>
              </w:rPr>
              <w:t>Tier</w:t>
            </w:r>
          </w:p>
        </w:tc>
        <w:tc>
          <w:tcPr>
            <w:tcW w:type="dxa" w:w="3888"/>
            <w:shd w:val="clear" w:fill="1E1A4B"/>
          </w:tcPr>
          <w:p>
            <w:pPr>
              <w:spacing w:after="20" w:before="20"/>
            </w:pPr>
            <w:r/>
            <w:r>
              <w:rPr>
                <w:rFonts w:ascii="Calibri" w:hAnsi="Calibri"/>
                <w:b/>
                <w:color w:val="FFFFFF"/>
                <w:sz w:val="20"/>
              </w:rPr>
              <w:t>How it is delivered</w:t>
            </w:r>
          </w:p>
        </w:tc>
      </w:tr>
      <w:tr>
        <w:trPr>
          <w:cantSplit/>
        </w:trPr>
        <w:tc>
          <w:tcPr>
            <w:tcW w:type="dxa" w:w="3600"/>
            <w:shd w:val="clear" w:fill="FFFFFF"/>
          </w:tcPr>
          <w:p>
            <w:pPr>
              <w:spacing w:after="20" w:before="20"/>
            </w:pPr>
            <w:r/>
            <w:r>
              <w:rPr>
                <w:rFonts w:ascii="Calibri" w:hAnsi="Calibri"/>
                <w:b w:val="0"/>
                <w:color w:val="333333"/>
                <w:sz w:val="19"/>
              </w:rPr>
              <w:t>Analysis UI, parameter forms, job status</w:t>
            </w:r>
          </w:p>
        </w:tc>
        <w:tc>
          <w:tcPr>
            <w:tcW w:type="dxa" w:w="1584"/>
            <w:shd w:val="clear" w:fill="FFFFFF"/>
          </w:tcPr>
          <w:p>
            <w:pPr>
              <w:spacing w:after="20" w:before="20"/>
            </w:pPr>
            <w:r/>
            <w:r>
              <w:rPr>
                <w:rFonts w:ascii="Calibri" w:hAnsi="Calibri"/>
                <w:b/>
                <w:color w:val="16A34A"/>
                <w:sz w:val="19"/>
              </w:rPr>
              <w:t>Client</w:t>
            </w:r>
          </w:p>
        </w:tc>
        <w:tc>
          <w:tcPr>
            <w:tcW w:type="dxa" w:w="3888"/>
            <w:shd w:val="clear" w:fill="FFFFFF"/>
          </w:tcPr>
          <w:p>
            <w:pPr>
              <w:spacing w:after="20" w:before="20"/>
            </w:pPr>
            <w:r/>
            <w:r>
              <w:rPr>
                <w:rFonts w:ascii="Calibri" w:hAnsi="Calibri"/>
                <w:b w:val="0"/>
                <w:color w:val="333333"/>
                <w:sz w:val="19"/>
              </w:rPr>
              <w:t>OpenLayers panel + async job polling</w:t>
            </w:r>
          </w:p>
        </w:tc>
      </w:tr>
      <w:tr>
        <w:trPr>
          <w:cantSplit/>
        </w:trPr>
        <w:tc>
          <w:tcPr>
            <w:tcW w:type="dxa" w:w="3600"/>
            <w:shd w:val="clear" w:fill="F0F0F8"/>
          </w:tcPr>
          <w:p>
            <w:pPr>
              <w:spacing w:after="20" w:before="20"/>
            </w:pPr>
            <w:r/>
            <w:r>
              <w:rPr>
                <w:rFonts w:ascii="Calibri" w:hAnsi="Calibri"/>
                <w:b w:val="0"/>
                <w:color w:val="333333"/>
                <w:sz w:val="19"/>
              </w:rPr>
              <w:t>Vector overlay / clip / buffer (small data)</w:t>
            </w:r>
          </w:p>
        </w:tc>
        <w:tc>
          <w:tcPr>
            <w:tcW w:type="dxa" w:w="1584"/>
            <w:shd w:val="clear" w:fill="F0F0F8"/>
          </w:tcPr>
          <w:p>
            <w:pPr>
              <w:spacing w:after="20" w:before="20"/>
            </w:pPr>
            <w:r/>
            <w:r>
              <w:rPr>
                <w:rFonts w:ascii="Calibri" w:hAnsi="Calibri"/>
                <w:b/>
                <w:color w:val="16A34A"/>
                <w:sz w:val="19"/>
              </w:rPr>
              <w:t>Client</w:t>
            </w:r>
          </w:p>
        </w:tc>
        <w:tc>
          <w:tcPr>
            <w:tcW w:type="dxa" w:w="3888"/>
            <w:shd w:val="clear" w:fill="F0F0F8"/>
          </w:tcPr>
          <w:p>
            <w:pPr>
              <w:spacing w:after="20" w:before="20"/>
            </w:pPr>
            <w:r/>
            <w:r>
              <w:rPr>
                <w:rFonts w:ascii="Calibri" w:hAnsi="Calibri"/>
                <w:b w:val="0"/>
                <w:color w:val="333333"/>
                <w:sz w:val="19"/>
              </w:rPr>
              <w:t>Turf.js in the browser — works offline</w:t>
            </w:r>
          </w:p>
        </w:tc>
      </w:tr>
      <w:tr>
        <w:trPr>
          <w:cantSplit/>
        </w:trPr>
        <w:tc>
          <w:tcPr>
            <w:tcW w:type="dxa" w:w="3600"/>
            <w:shd w:val="clear" w:fill="FFFFFF"/>
          </w:tcPr>
          <w:p>
            <w:pPr>
              <w:spacing w:after="20" w:before="20"/>
            </w:pPr>
            <w:r/>
            <w:r>
              <w:rPr>
                <w:rFonts w:ascii="Calibri" w:hAnsi="Calibri"/>
                <w:b w:val="0"/>
                <w:color w:val="333333"/>
                <w:sz w:val="19"/>
              </w:rPr>
              <w:t>Vector overlay / zonal stats (large data)</w:t>
            </w:r>
          </w:p>
        </w:tc>
        <w:tc>
          <w:tcPr>
            <w:tcW w:type="dxa" w:w="1584"/>
            <w:shd w:val="clear" w:fill="FFFFFF"/>
          </w:tcPr>
          <w:p>
            <w:pPr>
              <w:spacing w:after="20" w:before="20"/>
            </w:pPr>
            <w:r/>
            <w:r>
              <w:rPr>
                <w:rFonts w:ascii="Calibri" w:hAnsi="Calibri"/>
                <w:b/>
                <w:color w:val="1E1A4B"/>
                <w:sz w:val="19"/>
              </w:rPr>
              <w:t>Server</w:t>
            </w:r>
          </w:p>
        </w:tc>
        <w:tc>
          <w:tcPr>
            <w:tcW w:type="dxa" w:w="3888"/>
            <w:shd w:val="clear" w:fill="FFFFFF"/>
          </w:tcPr>
          <w:p>
            <w:pPr>
              <w:spacing w:after="20" w:before="20"/>
            </w:pPr>
            <w:r/>
            <w:r>
              <w:rPr>
                <w:rFonts w:ascii="Calibri" w:hAnsi="Calibri"/>
                <w:b w:val="0"/>
                <w:color w:val="333333"/>
                <w:sz w:val="19"/>
              </w:rPr>
              <w:t>PostGIS spatial SQL</w:t>
            </w:r>
          </w:p>
        </w:tc>
      </w:tr>
      <w:tr>
        <w:trPr>
          <w:cantSplit/>
        </w:trPr>
        <w:tc>
          <w:tcPr>
            <w:tcW w:type="dxa" w:w="3600"/>
            <w:shd w:val="clear" w:fill="F0F0F8"/>
          </w:tcPr>
          <w:p>
            <w:pPr>
              <w:spacing w:after="20" w:before="20"/>
            </w:pPr>
            <w:r/>
            <w:r>
              <w:rPr>
                <w:rFonts w:ascii="Calibri" w:hAnsi="Calibri"/>
                <w:b w:val="0"/>
                <w:color w:val="333333"/>
                <w:sz w:val="19"/>
              </w:rPr>
              <w:t>Network analysis (routing, service areas)</w:t>
            </w:r>
          </w:p>
        </w:tc>
        <w:tc>
          <w:tcPr>
            <w:tcW w:type="dxa" w:w="1584"/>
            <w:shd w:val="clear" w:fill="F0F0F8"/>
          </w:tcPr>
          <w:p>
            <w:pPr>
              <w:spacing w:after="20" w:before="20"/>
            </w:pPr>
            <w:r/>
            <w:r>
              <w:rPr>
                <w:rFonts w:ascii="Calibri" w:hAnsi="Calibri"/>
                <w:b/>
                <w:color w:val="1E1A4B"/>
                <w:sz w:val="19"/>
              </w:rPr>
              <w:t>Server</w:t>
            </w:r>
          </w:p>
        </w:tc>
        <w:tc>
          <w:tcPr>
            <w:tcW w:type="dxa" w:w="3888"/>
            <w:shd w:val="clear" w:fill="F0F0F8"/>
          </w:tcPr>
          <w:p>
            <w:pPr>
              <w:spacing w:after="20" w:before="20"/>
            </w:pPr>
            <w:r/>
            <w:r>
              <w:rPr>
                <w:rFonts w:ascii="Calibri" w:hAnsi="Calibri"/>
                <w:b w:val="0"/>
                <w:color w:val="333333"/>
                <w:sz w:val="19"/>
              </w:rPr>
              <w:t>pgRouting on the OSM road graph</w:t>
            </w:r>
          </w:p>
        </w:tc>
      </w:tr>
      <w:tr>
        <w:trPr>
          <w:cantSplit/>
        </w:trPr>
        <w:tc>
          <w:tcPr>
            <w:tcW w:type="dxa" w:w="3600"/>
            <w:shd w:val="clear" w:fill="FFFFFF"/>
          </w:tcPr>
          <w:p>
            <w:pPr>
              <w:spacing w:after="20" w:before="20"/>
            </w:pPr>
            <w:r/>
            <w:r>
              <w:rPr>
                <w:rFonts w:ascii="Calibri" w:hAnsi="Calibri"/>
                <w:b w:val="0"/>
                <w:color w:val="333333"/>
                <w:sz w:val="19"/>
              </w:rPr>
              <w:t>Interpolation (IDW, kriging)</w:t>
            </w:r>
          </w:p>
        </w:tc>
        <w:tc>
          <w:tcPr>
            <w:tcW w:type="dxa" w:w="1584"/>
            <w:shd w:val="clear" w:fill="FFFFFF"/>
          </w:tcPr>
          <w:p>
            <w:pPr>
              <w:spacing w:after="20" w:before="20"/>
            </w:pPr>
            <w:r/>
            <w:r>
              <w:rPr>
                <w:rFonts w:ascii="Calibri" w:hAnsi="Calibri"/>
                <w:b/>
                <w:color w:val="1E1A4B"/>
                <w:sz w:val="19"/>
              </w:rPr>
              <w:t>Server</w:t>
            </w:r>
          </w:p>
        </w:tc>
        <w:tc>
          <w:tcPr>
            <w:tcW w:type="dxa" w:w="3888"/>
            <w:shd w:val="clear" w:fill="FFFFFF"/>
          </w:tcPr>
          <w:p>
            <w:pPr>
              <w:spacing w:after="20" w:before="20"/>
            </w:pPr>
            <w:r/>
            <w:r>
              <w:rPr>
                <w:rFonts w:ascii="Calibri" w:hAnsi="Calibri"/>
                <w:b w:val="0"/>
                <w:color w:val="333333"/>
                <w:sz w:val="19"/>
              </w:rPr>
              <w:t>GDAL / SAGA → raster surface (COG)</w:t>
            </w:r>
          </w:p>
        </w:tc>
      </w:tr>
      <w:tr>
        <w:trPr>
          <w:cantSplit/>
        </w:trPr>
        <w:tc>
          <w:tcPr>
            <w:tcW w:type="dxa" w:w="3600"/>
            <w:shd w:val="clear" w:fill="F0F0F8"/>
          </w:tcPr>
          <w:p>
            <w:pPr>
              <w:spacing w:after="20" w:before="20"/>
            </w:pPr>
            <w:r/>
            <w:r>
              <w:rPr>
                <w:rFonts w:ascii="Calibri" w:hAnsi="Calibri"/>
                <w:b w:val="0"/>
                <w:color w:val="333333"/>
                <w:sz w:val="19"/>
              </w:rPr>
              <w:t>Hydrology (flow, watershed, flood)</w:t>
            </w:r>
          </w:p>
        </w:tc>
        <w:tc>
          <w:tcPr>
            <w:tcW w:type="dxa" w:w="1584"/>
            <w:shd w:val="clear" w:fill="F0F0F8"/>
          </w:tcPr>
          <w:p>
            <w:pPr>
              <w:spacing w:after="20" w:before="20"/>
            </w:pPr>
            <w:r/>
            <w:r>
              <w:rPr>
                <w:rFonts w:ascii="Calibri" w:hAnsi="Calibri"/>
                <w:b/>
                <w:color w:val="1E1A4B"/>
                <w:sz w:val="19"/>
              </w:rPr>
              <w:t>Server</w:t>
            </w:r>
          </w:p>
        </w:tc>
        <w:tc>
          <w:tcPr>
            <w:tcW w:type="dxa" w:w="3888"/>
            <w:shd w:val="clear" w:fill="F0F0F8"/>
          </w:tcPr>
          <w:p>
            <w:pPr>
              <w:spacing w:after="20" w:before="20"/>
            </w:pPr>
            <w:r/>
            <w:r>
              <w:rPr>
                <w:rFonts w:ascii="Calibri" w:hAnsi="Calibri"/>
                <w:b w:val="0"/>
                <w:color w:val="333333"/>
                <w:sz w:val="19"/>
              </w:rPr>
              <w:t>WhiteboxTools / GRASS on a DEM</w:t>
            </w:r>
          </w:p>
        </w:tc>
      </w:tr>
      <w:tr>
        <w:trPr>
          <w:cantSplit/>
        </w:trPr>
        <w:tc>
          <w:tcPr>
            <w:tcW w:type="dxa" w:w="3600"/>
            <w:shd w:val="clear" w:fill="FFFFFF"/>
          </w:tcPr>
          <w:p>
            <w:pPr>
              <w:spacing w:after="20" w:before="20"/>
            </w:pPr>
            <w:r/>
            <w:r>
              <w:rPr>
                <w:rFonts w:ascii="Calibri" w:hAnsi="Calibri"/>
                <w:b w:val="0"/>
                <w:color w:val="333333"/>
                <w:sz w:val="19"/>
              </w:rPr>
              <w:t>Raster display</w:t>
            </w:r>
          </w:p>
        </w:tc>
        <w:tc>
          <w:tcPr>
            <w:tcW w:type="dxa" w:w="1584"/>
            <w:shd w:val="clear" w:fill="FFFFFF"/>
          </w:tcPr>
          <w:p>
            <w:pPr>
              <w:spacing w:after="20" w:before="20"/>
            </w:pPr>
            <w:r/>
            <w:r>
              <w:rPr>
                <w:rFonts w:ascii="Calibri" w:hAnsi="Calibri"/>
                <w:b/>
                <w:color w:val="16A34A"/>
                <w:sz w:val="19"/>
              </w:rPr>
              <w:t>Client</w:t>
            </w:r>
          </w:p>
        </w:tc>
        <w:tc>
          <w:tcPr>
            <w:tcW w:type="dxa" w:w="3888"/>
            <w:shd w:val="clear" w:fill="FFFFFF"/>
          </w:tcPr>
          <w:p>
            <w:pPr>
              <w:spacing w:after="20" w:before="20"/>
            </w:pPr>
            <w:r/>
            <w:r>
              <w:rPr>
                <w:rFonts w:ascii="Calibri" w:hAnsi="Calibri"/>
                <w:b w:val="0"/>
                <w:color w:val="333333"/>
                <w:sz w:val="19"/>
              </w:rPr>
              <w:t>Cloud-Optimized GeoTIFF via WebGL + WMS tiles</w:t>
            </w:r>
          </w:p>
        </w:tc>
      </w:tr>
      <w:tr>
        <w:trPr>
          <w:cantSplit/>
        </w:trPr>
        <w:tc>
          <w:tcPr>
            <w:tcW w:type="dxa" w:w="3600"/>
            <w:shd w:val="clear" w:fill="F0F0F8"/>
          </w:tcPr>
          <w:p>
            <w:pPr>
              <w:spacing w:after="20" w:before="20"/>
            </w:pPr>
            <w:r/>
            <w:r>
              <w:rPr>
                <w:rFonts w:ascii="Calibri" w:hAnsi="Calibri"/>
                <w:b w:val="0"/>
                <w:color w:val="333333"/>
                <w:sz w:val="19"/>
              </w:rPr>
              <w:t>Catalogue data &amp; optional cloud compute</w:t>
            </w:r>
          </w:p>
        </w:tc>
        <w:tc>
          <w:tcPr>
            <w:tcW w:type="dxa" w:w="1584"/>
            <w:shd w:val="clear" w:fill="F0F0F8"/>
          </w:tcPr>
          <w:p>
            <w:pPr>
              <w:spacing w:after="20" w:before="20"/>
            </w:pPr>
            <w:r/>
            <w:r>
              <w:rPr>
                <w:rFonts w:ascii="Calibri" w:hAnsi="Calibri"/>
                <w:b/>
                <w:color w:val="1E1A4B"/>
                <w:sz w:val="19"/>
              </w:rPr>
              <w:t>Server</w:t>
            </w:r>
          </w:p>
        </w:tc>
        <w:tc>
          <w:tcPr>
            <w:tcW w:type="dxa" w:w="3888"/>
            <w:shd w:val="clear" w:fill="F0F0F8"/>
          </w:tcPr>
          <w:p>
            <w:pPr>
              <w:spacing w:after="20" w:before="20"/>
            </w:pPr>
            <w:r/>
            <w:r>
              <w:rPr>
                <w:rFonts w:ascii="Calibri" w:hAnsi="Calibri"/>
                <w:b w:val="0"/>
                <w:color w:val="333333"/>
                <w:sz w:val="19"/>
              </w:rPr>
              <w:t>Google Earth Engine (service account)</w:t>
            </w:r>
          </w:p>
        </w:tc>
      </w:tr>
      <w:tr>
        <w:trPr>
          <w:cantSplit/>
        </w:trPr>
        <w:tc>
          <w:tcPr>
            <w:tcW w:type="dxa" w:w="3600"/>
            <w:shd w:val="clear" w:fill="FFFFFF"/>
          </w:tcPr>
          <w:p>
            <w:pPr>
              <w:spacing w:after="20" w:before="20"/>
            </w:pPr>
            <w:r/>
            <w:r>
              <w:rPr>
                <w:rFonts w:ascii="Calibri" w:hAnsi="Calibri"/>
                <w:b w:val="0"/>
                <w:color w:val="333333"/>
                <w:sz w:val="19"/>
              </w:rPr>
              <w:t>Result storage &amp; re-use</w:t>
            </w:r>
          </w:p>
        </w:tc>
        <w:tc>
          <w:tcPr>
            <w:tcW w:type="dxa" w:w="1584"/>
            <w:shd w:val="clear" w:fill="FFFFFF"/>
          </w:tcPr>
          <w:p>
            <w:pPr>
              <w:spacing w:after="20" w:before="20"/>
            </w:pPr>
            <w:r/>
            <w:r>
              <w:rPr>
                <w:rFonts w:ascii="Calibri" w:hAnsi="Calibri"/>
                <w:b/>
                <w:color w:val="1E1A4B"/>
                <w:sz w:val="19"/>
              </w:rPr>
              <w:t>Client + Server</w:t>
            </w:r>
          </w:p>
        </w:tc>
        <w:tc>
          <w:tcPr>
            <w:tcW w:type="dxa" w:w="3888"/>
            <w:shd w:val="clear" w:fill="FFFFFF"/>
          </w:tcPr>
          <w:p>
            <w:pPr>
              <w:spacing w:after="20" w:before="20"/>
            </w:pPr>
            <w:r/>
            <w:r>
              <w:rPr>
                <w:rFonts w:ascii="Calibri" w:hAnsi="Calibri"/>
                <w:b w:val="0"/>
                <w:color w:val="333333"/>
                <w:sz w:val="19"/>
              </w:rPr>
              <w:t>Object store on server; SQLite/OPFS cache on client</w:t>
            </w:r>
          </w:p>
        </w:tc>
      </w:tr>
    </w:tbl>
    <w:p>
      <w:pPr>
        <w:spacing w:after="80"/>
      </w:pPr>
    </w:p>
    <w:p>
      <w:pPr>
        <w:pStyle w:val="berschrift1"/>
      </w:pPr>
      <w:r>
        <w:t>6. Bringing Raster Data In</w:t>
      </w:r>
    </w:p>
    <w:p>
      <w:pPr>
        <w:spacing w:after="120"/>
      </w:pPr>
      <w:r>
        <w:rPr>
          <w:rFonts w:ascii="Calibri" w:hAnsi="Calibri"/>
          <w:b w:val="0"/>
          <w:i w:val="0"/>
          <w:color w:val="333333"/>
          <w:sz w:val="22"/>
        </w:rPr>
        <w:t>Raster support is the enabling step for most of the requested tools. It has two distinct halves — how raster enters the system, and how it is displayed versus analysed.</w:t>
      </w:r>
    </w:p>
    <w:p>
      <w:pPr>
        <w:pStyle w:val="berschrift2"/>
      </w:pPr>
      <w:r>
        <w:t>6.1 Sources</w:t>
      </w:r>
    </w:p>
    <w:p>
      <w:pPr>
        <w:spacing w:after="60"/>
        <w:ind w:left="403" w:hanging="259"/>
      </w:pPr>
      <w:r>
        <w:rPr>
          <w:rFonts w:ascii="Calibri" w:hAnsi="Calibri"/>
          <w:b/>
          <w:color w:val="1E1A4B"/>
          <w:sz w:val="22"/>
        </w:rPr>
        <w:t>•</w:t>
        <w:tab/>
      </w:r>
      <w:r>
        <w:rPr>
          <w:rFonts w:ascii="Calibri" w:hAnsi="Calibri"/>
          <w:b/>
          <w:i w:val="0"/>
          <w:color w:val="333333"/>
          <w:sz w:val="22"/>
        </w:rPr>
        <w:t>Officer GeoTIFF upload.</w:t>
      </w:r>
      <w:r>
        <w:rPr>
          <w:rFonts w:ascii="Calibri" w:hAnsi="Calibri"/>
          <w:b w:val="0"/>
          <w:i w:val="0"/>
          <w:color w:val="333333"/>
          <w:sz w:val="22"/>
        </w:rPr>
        <w:t xml:space="preserve"> Rasters (DEMs, imagery, scanned maps) enter through the existing staged-upload pipeline. On the server each file is validated, reprojected, and converted to a </w:t>
      </w:r>
      <w:r>
        <w:rPr>
          <w:rFonts w:ascii="Calibri" w:hAnsi="Calibri"/>
          <w:b/>
          <w:i w:val="0"/>
          <w:color w:val="333333"/>
          <w:sz w:val="22"/>
        </w:rPr>
        <w:t>Cloud-Optimized GeoTIFF (COG)</w:t>
      </w:r>
      <w:r>
        <w:rPr>
          <w:rFonts w:ascii="Calibri" w:hAnsi="Calibri"/>
          <w:b w:val="0"/>
          <w:i w:val="0"/>
          <w:color w:val="333333"/>
          <w:sz w:val="22"/>
        </w:rPr>
        <w:t xml:space="preserve"> so it can be streamed and tiled efficiently.</w:t>
      </w:r>
    </w:p>
    <w:p>
      <w:pPr>
        <w:spacing w:after="60"/>
        <w:ind w:left="403" w:hanging="259"/>
      </w:pPr>
      <w:r>
        <w:rPr>
          <w:rFonts w:ascii="Calibri" w:hAnsi="Calibri"/>
          <w:b/>
          <w:color w:val="1E1A4B"/>
          <w:sz w:val="22"/>
        </w:rPr>
        <w:t>•</w:t>
        <w:tab/>
      </w:r>
      <w:r>
        <w:rPr>
          <w:rFonts w:ascii="Calibri" w:hAnsi="Calibri"/>
          <w:b/>
          <w:i w:val="0"/>
          <w:color w:val="333333"/>
          <w:sz w:val="22"/>
        </w:rPr>
        <w:t>WMS / WFS external services.</w:t>
      </w:r>
      <w:r>
        <w:rPr>
          <w:rFonts w:ascii="Calibri" w:hAnsi="Calibri"/>
          <w:b w:val="0"/>
          <w:i w:val="0"/>
          <w:color w:val="333333"/>
          <w:sz w:val="22"/>
        </w:rPr>
        <w:t xml:space="preserve"> National or third-party imagery and layers are consumed as live web-service layers, with the results cached by the service worker for offline viewing.</w:t>
      </w:r>
    </w:p>
    <w:p>
      <w:pPr>
        <w:spacing w:after="60"/>
        <w:ind w:left="403" w:hanging="259"/>
      </w:pPr>
      <w:r>
        <w:rPr>
          <w:rFonts w:ascii="Calibri" w:hAnsi="Calibri"/>
          <w:b/>
          <w:color w:val="1E1A4B"/>
          <w:sz w:val="22"/>
        </w:rPr>
        <w:t>•</w:t>
        <w:tab/>
      </w:r>
      <w:r>
        <w:rPr>
          <w:rFonts w:ascii="Calibri" w:hAnsi="Calibri"/>
          <w:b/>
          <w:i w:val="0"/>
          <w:color w:val="333333"/>
          <w:sz w:val="22"/>
        </w:rPr>
        <w:t>Google Earth Engine (GEE).</w:t>
      </w:r>
      <w:r>
        <w:rPr>
          <w:rFonts w:ascii="Calibri" w:hAnsi="Calibri"/>
          <w:b w:val="0"/>
          <w:i w:val="0"/>
          <w:color w:val="333333"/>
          <w:sz w:val="22"/>
        </w:rPr>
        <w:t xml:space="preserve"> Assuming a LUSPA Earth Engine account, GEE provides a very large, ready-to-use catalogue of satellite and derived data — and can run some of the analysis in Google's cloud. See Section 6.2.</w:t>
      </w:r>
    </w:p>
    <w:p>
      <w:pPr>
        <w:spacing w:after="60"/>
        <w:ind w:left="403" w:hanging="259"/>
      </w:pPr>
      <w:r>
        <w:rPr>
          <w:rFonts w:ascii="Calibri" w:hAnsi="Calibri"/>
          <w:b/>
          <w:color w:val="1E1A4B"/>
          <w:sz w:val="22"/>
        </w:rPr>
        <w:t>•</w:t>
        <w:tab/>
      </w:r>
      <w:r>
        <w:rPr>
          <w:rFonts w:ascii="Calibri" w:hAnsi="Calibri"/>
          <w:b/>
          <w:color w:val="333333"/>
          <w:sz w:val="22"/>
        </w:rPr>
        <w:t>Digital Earth Africa (DE Africa).</w:t>
      </w:r>
      <w:r>
        <w:rPr>
          <w:rFonts w:ascii="Calibri" w:hAnsi="Calibri"/>
          <w:b w:val="0"/>
          <w:color w:val="333333"/>
          <w:sz w:val="22"/>
        </w:rPr>
        <w:t xml:space="preserve"> An open, Africa-focused platform whose Sandbox exports products directly as Cloud-Optimized GeoTIFFs. LUPMIS2 already consumes its slope service as WMS. See Section 6.3.</w:t>
      </w:r>
    </w:p>
    <w:p>
      <w:pPr>
        <w:spacing w:after="60"/>
        <w:ind w:left="403" w:hanging="259"/>
      </w:pPr>
      <w:r>
        <w:rPr>
          <w:rFonts w:ascii="Calibri" w:hAnsi="Calibri"/>
          <w:b/>
          <w:color w:val="1E1A4B"/>
          <w:sz w:val="22"/>
        </w:rPr>
        <w:t>•</w:t>
        <w:tab/>
      </w:r>
      <w:r>
        <w:rPr>
          <w:rFonts w:ascii="Calibri" w:hAnsi="Calibri"/>
          <w:b/>
          <w:i w:val="0"/>
          <w:color w:val="333333"/>
          <w:sz w:val="22"/>
        </w:rPr>
        <w:t>Existing in-house terrain (PostGIS).</w:t>
      </w:r>
      <w:r>
        <w:rPr>
          <w:rFonts w:ascii="Calibri" w:hAnsi="Calibri"/>
          <w:b w:val="0"/>
          <w:i w:val="0"/>
          <w:color w:val="333333"/>
          <w:sz w:val="22"/>
        </w:rPr>
        <w:t xml:space="preserve"> District elevation contours (spatial.be_contours_hillshade), imported from OpenTopography (SRTM 30 m / Copernicus 30 m DEM) and served by get_contours_hillshade.php, are already stored and district-scoped — usable immediately and offline, and the basis for a locally-derived DEM (see Section 7.3).</w:t>
      </w:r>
    </w:p>
    <w:p>
      <w:pPr>
        <w:spacing w:after="120"/>
      </w:pPr>
      <w:r>
        <w:rPr>
          <w:rFonts w:ascii="Calibri" w:hAnsi="Calibri"/>
          <w:b w:val="0"/>
          <w:i/>
          <w:color w:val="6B7280"/>
          <w:sz w:val="20"/>
        </w:rPr>
        <w:t>A digital elevation model (DEM) is a prerequisite for hydrology, slope, and terrain interpolation. It can be supplied by upload, a WMS/WFS coverage, or — most conveniently — pulled from Google Earth Engine (e.g. Copernicus GLO-30 or MERIT Hydro).</w:t>
      </w:r>
      <w:r>
        <w:rPr>
          <w:rFonts w:ascii="Calibri" w:hAnsi="Calibri"/>
          <w:i/>
          <w:color w:val="6B7280"/>
          <w:sz w:val="20"/>
        </w:rPr>
        <w:t xml:space="preserve"> It can equally be interpolated locally from the existing elevation contours (spatial.be_contours_hillshade), with no external data.</w:t>
      </w:r>
    </w:p>
    <w:p>
      <w:pPr>
        <w:pStyle w:val="berschrift2"/>
      </w:pPr>
      <w:r>
        <w:t>6.2 Google Earth Engine as a data (and compute) source</w:t>
      </w:r>
    </w:p>
    <w:p>
      <w:pPr>
        <w:spacing w:after="120"/>
      </w:pPr>
      <w:r>
        <w:rPr>
          <w:rFonts w:ascii="Calibri" w:hAnsi="Calibri"/>
          <w:b w:val="0"/>
          <w:i w:val="0"/>
          <w:color w:val="333333"/>
          <w:sz w:val="22"/>
        </w:rPr>
        <w:t xml:space="preserve">Where a LUSPA Google Earth Engine account is available, much of the data these tools need can be sourced directly from GEE rather than acquired, stored, and processed in-house. GEE is both a </w:t>
      </w:r>
      <w:r>
        <w:rPr>
          <w:rFonts w:ascii="Calibri" w:hAnsi="Calibri"/>
          <w:b/>
          <w:i w:val="0"/>
          <w:color w:val="333333"/>
          <w:sz w:val="22"/>
        </w:rPr>
        <w:t>petabyte-scale catalogue</w:t>
      </w:r>
      <w:r>
        <w:rPr>
          <w:rFonts w:ascii="Calibri" w:hAnsi="Calibri"/>
          <w:b w:val="0"/>
          <w:i w:val="0"/>
          <w:color w:val="333333"/>
          <w:sz w:val="22"/>
        </w:rPr>
        <w:t xml:space="preserve"> of satellite and derived datasets and a </w:t>
      </w:r>
      <w:r>
        <w:rPr>
          <w:rFonts w:ascii="Calibri" w:hAnsi="Calibri"/>
          <w:b/>
          <w:i w:val="0"/>
          <w:color w:val="333333"/>
          <w:sz w:val="22"/>
        </w:rPr>
        <w:t>cloud processing engine</w:t>
      </w:r>
      <w:r>
        <w:rPr>
          <w:rFonts w:ascii="Calibri" w:hAnsi="Calibri"/>
          <w:b w:val="0"/>
          <w:i w:val="0"/>
          <w:color w:val="333333"/>
          <w:sz w:val="22"/>
        </w:rPr>
        <w:t>, which means it can also carry out some of the heavy raster computation and return only compact results — reducing the load and maintenance on the LUSPA server.</w:t>
      </w:r>
    </w:p>
    <w:p>
      <w:pPr>
        <w:spacing w:after="120"/>
      </w:pPr>
      <w:r>
        <w:rPr>
          <w:rFonts w:ascii="Calibri" w:hAnsi="Calibri"/>
          <w:b/>
          <w:i w:val="0"/>
          <w:color w:val="333333"/>
          <w:sz w:val="22"/>
        </w:rPr>
        <w:t>How it fits the architecture.</w:t>
      </w:r>
      <w:r>
        <w:rPr>
          <w:rFonts w:ascii="Calibri" w:hAnsi="Calibri"/>
          <w:b w:val="0"/>
          <w:i w:val="0"/>
          <w:color w:val="333333"/>
          <w:sz w:val="22"/>
        </w:rPr>
        <w:t xml:space="preserve"> The server requests data or analysis from GEE for a district area of interest, using a service account. Two modes are used: </w:t>
      </w:r>
      <w:r>
        <w:rPr>
          <w:rFonts w:ascii="Calibri" w:hAnsi="Calibri"/>
          <w:b/>
          <w:i w:val="0"/>
          <w:color w:val="333333"/>
          <w:sz w:val="22"/>
        </w:rPr>
        <w:t>(a) as a data source</w:t>
      </w:r>
      <w:r>
        <w:rPr>
          <w:rFonts w:ascii="Calibri" w:hAnsi="Calibri"/>
          <w:b w:val="0"/>
          <w:i w:val="0"/>
          <w:color w:val="333333"/>
          <w:sz w:val="22"/>
        </w:rPr>
        <w:t xml:space="preserve"> — export a clipped raster as Cloud-Optimized GeoTIFF into the normal pipeline, or stream GEE map tiles straight to the client for display; and </w:t>
      </w:r>
      <w:r>
        <w:rPr>
          <w:rFonts w:ascii="Calibri" w:hAnsi="Calibri"/>
          <w:b/>
          <w:i w:val="0"/>
          <w:color w:val="333333"/>
          <w:sz w:val="22"/>
        </w:rPr>
        <w:t>(b) as a compute offload</w:t>
      </w:r>
      <w:r>
        <w:rPr>
          <w:rFonts w:ascii="Calibri" w:hAnsi="Calibri"/>
          <w:b w:val="0"/>
          <w:i w:val="0"/>
          <w:color w:val="333333"/>
          <w:sz w:val="22"/>
        </w:rPr>
        <w:t xml:space="preserve"> — run an operation inside GEE (e.g. zonal statistics, a flood extent from radar) and return GeoJSON or tiles. Either way the result is cached locally for offline re-use, consistent with the hybrid model.</w:t>
      </w:r>
    </w:p>
    <w:p>
      <w:pPr>
        <w:spacing w:after="60"/>
      </w:pPr>
      <w:r>
        <w:rPr>
          <w:rFonts w:ascii="Calibri" w:hAnsi="Calibri"/>
          <w:b/>
          <w:i w:val="0"/>
          <w:color w:val="1E1A4B"/>
          <w:sz w:val="22"/>
        </w:rPr>
        <w:t>Representative datasets and the tools they feed</w:t>
      </w:r>
      <w:r>
        <w:rPr>
          <w:rFonts w:ascii="Calibri" w:hAnsi="Calibri"/>
          <w:b w:val="0"/>
          <w:i w:val="0"/>
          <w:color w:val="333333"/>
          <w:sz w:val="22"/>
        </w:rPr>
        <w:t>:</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3600"/>
            <w:shd w:val="clear" w:fill="1E1A4B"/>
          </w:tcPr>
          <w:p>
            <w:pPr>
              <w:spacing w:after="20" w:before="20"/>
            </w:pPr>
            <w:r/>
            <w:r>
              <w:rPr>
                <w:rFonts w:ascii="Calibri" w:hAnsi="Calibri"/>
                <w:b/>
                <w:color w:val="FFFFFF"/>
                <w:sz w:val="20"/>
              </w:rPr>
              <w:t>Dataset (in GEE)</w:t>
            </w:r>
          </w:p>
        </w:tc>
        <w:tc>
          <w:tcPr>
            <w:tcW w:type="dxa" w:w="3168"/>
            <w:shd w:val="clear" w:fill="1E1A4B"/>
          </w:tcPr>
          <w:p>
            <w:pPr>
              <w:spacing w:after="20" w:before="20"/>
            </w:pPr>
            <w:r/>
            <w:r>
              <w:rPr>
                <w:rFonts w:ascii="Calibri" w:hAnsi="Calibri"/>
                <w:b/>
                <w:color w:val="FFFFFF"/>
                <w:sz w:val="20"/>
              </w:rPr>
              <w:t>Provides</w:t>
            </w:r>
          </w:p>
        </w:tc>
        <w:tc>
          <w:tcPr>
            <w:tcW w:type="dxa" w:w="3744"/>
            <w:shd w:val="clear" w:fill="1E1A4B"/>
          </w:tcPr>
          <w:p>
            <w:pPr>
              <w:spacing w:after="20" w:before="20"/>
            </w:pPr>
            <w:r/>
            <w:r>
              <w:rPr>
                <w:rFonts w:ascii="Calibri" w:hAnsi="Calibri"/>
                <w:b/>
                <w:color w:val="FFFFFF"/>
                <w:sz w:val="20"/>
              </w:rPr>
              <w:t>Feeds</w:t>
            </w:r>
          </w:p>
        </w:tc>
      </w:tr>
      <w:tr>
        <w:trPr>
          <w:cantSplit/>
        </w:trPr>
        <w:tc>
          <w:tcPr>
            <w:tcW w:type="dxa" w:w="3600"/>
            <w:shd w:val="clear" w:fill="FFFFFF"/>
          </w:tcPr>
          <w:p>
            <w:pPr>
              <w:spacing w:after="20" w:before="20"/>
            </w:pPr>
            <w:r/>
            <w:r>
              <w:rPr>
                <w:rFonts w:ascii="Calibri" w:hAnsi="Calibri"/>
                <w:b w:val="0"/>
                <w:color w:val="333333"/>
                <w:sz w:val="19"/>
              </w:rPr>
              <w:t>Copernicus GLO-30 / SRTM / MERIT Hydro</w:t>
            </w:r>
          </w:p>
        </w:tc>
        <w:tc>
          <w:tcPr>
            <w:tcW w:type="dxa" w:w="3168"/>
            <w:shd w:val="clear" w:fill="FFFFFF"/>
          </w:tcPr>
          <w:p>
            <w:pPr>
              <w:spacing w:after="20" w:before="20"/>
            </w:pPr>
            <w:r/>
            <w:r>
              <w:rPr>
                <w:rFonts w:ascii="Calibri" w:hAnsi="Calibri"/>
                <w:b w:val="0"/>
                <w:color w:val="333333"/>
                <w:sz w:val="19"/>
              </w:rPr>
              <w:t>Elevation (DEM), hydrologically-conditioned terrain</w:t>
            </w:r>
          </w:p>
        </w:tc>
        <w:tc>
          <w:tcPr>
            <w:tcW w:type="dxa" w:w="3744"/>
            <w:shd w:val="clear" w:fill="FFFFFF"/>
          </w:tcPr>
          <w:p>
            <w:pPr>
              <w:spacing w:after="20" w:before="20"/>
            </w:pPr>
            <w:r/>
            <w:r>
              <w:rPr>
                <w:rFonts w:ascii="Calibri" w:hAnsi="Calibri"/>
                <w:b w:val="0"/>
                <w:color w:val="333333"/>
                <w:sz w:val="19"/>
              </w:rPr>
              <w:t>Hydrology · slope · interpolation base · zonal stats</w:t>
            </w:r>
          </w:p>
        </w:tc>
      </w:tr>
      <w:tr>
        <w:trPr>
          <w:cantSplit/>
        </w:trPr>
        <w:tc>
          <w:tcPr>
            <w:tcW w:type="dxa" w:w="3600"/>
            <w:shd w:val="clear" w:fill="F0F0F8"/>
          </w:tcPr>
          <w:p>
            <w:pPr>
              <w:spacing w:after="20" w:before="20"/>
            </w:pPr>
            <w:r/>
            <w:r>
              <w:rPr>
                <w:rFonts w:ascii="Calibri" w:hAnsi="Calibri"/>
                <w:b w:val="0"/>
                <w:color w:val="333333"/>
                <w:sz w:val="19"/>
              </w:rPr>
              <w:t>Sentinel-2 / Landsat 8–9</w:t>
            </w:r>
          </w:p>
        </w:tc>
        <w:tc>
          <w:tcPr>
            <w:tcW w:type="dxa" w:w="3168"/>
            <w:shd w:val="clear" w:fill="F0F0F8"/>
          </w:tcPr>
          <w:p>
            <w:pPr>
              <w:spacing w:after="20" w:before="20"/>
            </w:pPr>
            <w:r/>
            <w:r>
              <w:rPr>
                <w:rFonts w:ascii="Calibri" w:hAnsi="Calibri"/>
                <w:b w:val="0"/>
                <w:color w:val="333333"/>
                <w:sz w:val="19"/>
              </w:rPr>
              <w:t>Optical imagery, indices (NDVI, NDWI)</w:t>
            </w:r>
          </w:p>
        </w:tc>
        <w:tc>
          <w:tcPr>
            <w:tcW w:type="dxa" w:w="3744"/>
            <w:shd w:val="clear" w:fill="F0F0F8"/>
          </w:tcPr>
          <w:p>
            <w:pPr>
              <w:spacing w:after="20" w:before="20"/>
            </w:pPr>
            <w:r/>
            <w:r>
              <w:rPr>
                <w:rFonts w:ascii="Calibri" w:hAnsi="Calibri"/>
                <w:b w:val="0"/>
                <w:color w:val="333333"/>
                <w:sz w:val="19"/>
              </w:rPr>
              <w:t>Overlays · display · land-cover context</w:t>
            </w:r>
          </w:p>
        </w:tc>
      </w:tr>
      <w:tr>
        <w:trPr>
          <w:cantSplit/>
        </w:trPr>
        <w:tc>
          <w:tcPr>
            <w:tcW w:type="dxa" w:w="3600"/>
            <w:shd w:val="clear" w:fill="FFFFFF"/>
          </w:tcPr>
          <w:p>
            <w:pPr>
              <w:spacing w:after="20" w:before="20"/>
            </w:pPr>
            <w:r/>
            <w:r>
              <w:rPr>
                <w:rFonts w:ascii="Calibri" w:hAnsi="Calibri"/>
                <w:b w:val="0"/>
                <w:color w:val="333333"/>
                <w:sz w:val="19"/>
              </w:rPr>
              <w:t>Sentinel-1 (radar)</w:t>
            </w:r>
          </w:p>
        </w:tc>
        <w:tc>
          <w:tcPr>
            <w:tcW w:type="dxa" w:w="3168"/>
            <w:shd w:val="clear" w:fill="FFFFFF"/>
          </w:tcPr>
          <w:p>
            <w:pPr>
              <w:spacing w:after="20" w:before="20"/>
            </w:pPr>
            <w:r/>
            <w:r>
              <w:rPr>
                <w:rFonts w:ascii="Calibri" w:hAnsi="Calibri"/>
                <w:b w:val="0"/>
                <w:color w:val="333333"/>
                <w:sz w:val="19"/>
              </w:rPr>
              <w:t>All-weather imagery; flood extent mapping</w:t>
            </w:r>
          </w:p>
        </w:tc>
        <w:tc>
          <w:tcPr>
            <w:tcW w:type="dxa" w:w="3744"/>
            <w:shd w:val="clear" w:fill="FFFFFF"/>
          </w:tcPr>
          <w:p>
            <w:pPr>
              <w:spacing w:after="20" w:before="20"/>
            </w:pPr>
            <w:r/>
            <w:r>
              <w:rPr>
                <w:rFonts w:ascii="Calibri" w:hAnsi="Calibri"/>
                <w:b w:val="0"/>
                <w:color w:val="333333"/>
                <w:sz w:val="19"/>
              </w:rPr>
              <w:t>Hydrology / flood · display</w:t>
            </w:r>
          </w:p>
        </w:tc>
      </w:tr>
      <w:tr>
        <w:trPr>
          <w:cantSplit/>
        </w:trPr>
        <w:tc>
          <w:tcPr>
            <w:tcW w:type="dxa" w:w="3600"/>
            <w:shd w:val="clear" w:fill="F0F0F8"/>
          </w:tcPr>
          <w:p>
            <w:pPr>
              <w:spacing w:after="20" w:before="20"/>
            </w:pPr>
            <w:r/>
            <w:r>
              <w:rPr>
                <w:rFonts w:ascii="Calibri" w:hAnsi="Calibri"/>
                <w:b w:val="0"/>
                <w:color w:val="333333"/>
                <w:sz w:val="19"/>
              </w:rPr>
              <w:t>ESA WorldCover / Dynamic World</w:t>
            </w:r>
          </w:p>
        </w:tc>
        <w:tc>
          <w:tcPr>
            <w:tcW w:type="dxa" w:w="3168"/>
            <w:shd w:val="clear" w:fill="F0F0F8"/>
          </w:tcPr>
          <w:p>
            <w:pPr>
              <w:spacing w:after="20" w:before="20"/>
            </w:pPr>
            <w:r/>
            <w:r>
              <w:rPr>
                <w:rFonts w:ascii="Calibri" w:hAnsi="Calibri"/>
                <w:b w:val="0"/>
                <w:color w:val="333333"/>
                <w:sz w:val="19"/>
              </w:rPr>
              <w:t>Land-cover / land-use classification</w:t>
            </w:r>
          </w:p>
        </w:tc>
        <w:tc>
          <w:tcPr>
            <w:tcW w:type="dxa" w:w="3744"/>
            <w:shd w:val="clear" w:fill="F0F0F8"/>
          </w:tcPr>
          <w:p>
            <w:pPr>
              <w:spacing w:after="20" w:before="20"/>
            </w:pPr>
            <w:r/>
            <w:r>
              <w:rPr>
                <w:rFonts w:ascii="Calibri" w:hAnsi="Calibri"/>
                <w:b w:val="0"/>
                <w:color w:val="333333"/>
                <w:sz w:val="19"/>
              </w:rPr>
              <w:t>Overlays · zonal statistics</w:t>
            </w:r>
          </w:p>
        </w:tc>
      </w:tr>
      <w:tr>
        <w:trPr>
          <w:cantSplit/>
        </w:trPr>
        <w:tc>
          <w:tcPr>
            <w:tcW w:type="dxa" w:w="3600"/>
            <w:shd w:val="clear" w:fill="FFFFFF"/>
          </w:tcPr>
          <w:p>
            <w:pPr>
              <w:spacing w:after="20" w:before="20"/>
            </w:pPr>
            <w:r/>
            <w:r>
              <w:rPr>
                <w:rFonts w:ascii="Calibri" w:hAnsi="Calibri"/>
                <w:b w:val="0"/>
                <w:color w:val="333333"/>
                <w:sz w:val="19"/>
              </w:rPr>
              <w:t>JRC Global Surface Water / Global Flood DB</w:t>
            </w:r>
          </w:p>
        </w:tc>
        <w:tc>
          <w:tcPr>
            <w:tcW w:type="dxa" w:w="3168"/>
            <w:shd w:val="clear" w:fill="FFFFFF"/>
          </w:tcPr>
          <w:p>
            <w:pPr>
              <w:spacing w:after="20" w:before="20"/>
            </w:pPr>
            <w:r/>
            <w:r>
              <w:rPr>
                <w:rFonts w:ascii="Calibri" w:hAnsi="Calibri"/>
                <w:b w:val="0"/>
                <w:color w:val="333333"/>
                <w:sz w:val="19"/>
              </w:rPr>
              <w:t>Historic water occurrence &amp; flood extents</w:t>
            </w:r>
          </w:p>
        </w:tc>
        <w:tc>
          <w:tcPr>
            <w:tcW w:type="dxa" w:w="3744"/>
            <w:shd w:val="clear" w:fill="FFFFFF"/>
          </w:tcPr>
          <w:p>
            <w:pPr>
              <w:spacing w:after="20" w:before="20"/>
            </w:pPr>
            <w:r/>
            <w:r>
              <w:rPr>
                <w:rFonts w:ascii="Calibri" w:hAnsi="Calibri"/>
                <w:b w:val="0"/>
                <w:color w:val="333333"/>
                <w:sz w:val="19"/>
              </w:rPr>
              <w:t>Hydrology / flood screening</w:t>
            </w:r>
          </w:p>
        </w:tc>
      </w:tr>
      <w:tr>
        <w:trPr>
          <w:cantSplit/>
        </w:trPr>
        <w:tc>
          <w:tcPr>
            <w:tcW w:type="dxa" w:w="3600"/>
            <w:shd w:val="clear" w:fill="F0F0F8"/>
          </w:tcPr>
          <w:p>
            <w:pPr>
              <w:spacing w:after="20" w:before="20"/>
            </w:pPr>
            <w:r/>
            <w:r>
              <w:rPr>
                <w:rFonts w:ascii="Calibri" w:hAnsi="Calibri"/>
                <w:b w:val="0"/>
                <w:color w:val="333333"/>
                <w:sz w:val="19"/>
              </w:rPr>
              <w:t>CHIRPS / ERA5</w:t>
            </w:r>
          </w:p>
        </w:tc>
        <w:tc>
          <w:tcPr>
            <w:tcW w:type="dxa" w:w="3168"/>
            <w:shd w:val="clear" w:fill="F0F0F8"/>
          </w:tcPr>
          <w:p>
            <w:pPr>
              <w:spacing w:after="20" w:before="20"/>
            </w:pPr>
            <w:r/>
            <w:r>
              <w:rPr>
                <w:rFonts w:ascii="Calibri" w:hAnsi="Calibri"/>
                <w:b w:val="0"/>
                <w:color w:val="333333"/>
                <w:sz w:val="19"/>
              </w:rPr>
              <w:t>Rainfall &amp; climate</w:t>
            </w:r>
          </w:p>
        </w:tc>
        <w:tc>
          <w:tcPr>
            <w:tcW w:type="dxa" w:w="3744"/>
            <w:shd w:val="clear" w:fill="F0F0F8"/>
          </w:tcPr>
          <w:p>
            <w:pPr>
              <w:spacing w:after="20" w:before="20"/>
            </w:pPr>
            <w:r/>
            <w:r>
              <w:rPr>
                <w:rFonts w:ascii="Calibri" w:hAnsi="Calibri"/>
                <w:b w:val="0"/>
                <w:color w:val="333333"/>
                <w:sz w:val="19"/>
              </w:rPr>
              <w:t>Hydrology inputs</w:t>
            </w:r>
          </w:p>
        </w:tc>
      </w:tr>
      <w:tr>
        <w:trPr>
          <w:cantSplit/>
        </w:trPr>
        <w:tc>
          <w:tcPr>
            <w:tcW w:type="dxa" w:w="3600"/>
            <w:shd w:val="clear" w:fill="FFFFFF"/>
          </w:tcPr>
          <w:p>
            <w:pPr>
              <w:spacing w:after="20" w:before="20"/>
            </w:pPr>
            <w:r/>
            <w:r>
              <w:rPr>
                <w:rFonts w:ascii="Calibri" w:hAnsi="Calibri"/>
                <w:b w:val="0"/>
                <w:color w:val="333333"/>
                <w:sz w:val="19"/>
              </w:rPr>
              <w:t>WorldPop / GHSL</w:t>
            </w:r>
          </w:p>
        </w:tc>
        <w:tc>
          <w:tcPr>
            <w:tcW w:type="dxa" w:w="3168"/>
            <w:shd w:val="clear" w:fill="FFFFFF"/>
          </w:tcPr>
          <w:p>
            <w:pPr>
              <w:spacing w:after="20" w:before="20"/>
            </w:pPr>
            <w:r/>
            <w:r>
              <w:rPr>
                <w:rFonts w:ascii="Calibri" w:hAnsi="Calibri"/>
                <w:b w:val="0"/>
                <w:color w:val="333333"/>
                <w:sz w:val="19"/>
              </w:rPr>
              <w:t>Population &amp; built-up surfaces</w:t>
            </w:r>
          </w:p>
        </w:tc>
        <w:tc>
          <w:tcPr>
            <w:tcW w:type="dxa" w:w="3744"/>
            <w:shd w:val="clear" w:fill="FFFFFF"/>
          </w:tcPr>
          <w:p>
            <w:pPr>
              <w:spacing w:after="20" w:before="20"/>
            </w:pPr>
            <w:r/>
            <w:r>
              <w:rPr>
                <w:rFonts w:ascii="Calibri" w:hAnsi="Calibri"/>
                <w:b w:val="0"/>
                <w:color w:val="333333"/>
                <w:sz w:val="19"/>
              </w:rPr>
              <w:t>Accessibility · planning context</w:t>
            </w:r>
          </w:p>
        </w:tc>
      </w:tr>
    </w:tbl>
    <w:p>
      <w:pPr>
        <w:spacing w:after="80"/>
      </w:pPr>
    </w:p>
    <w:p>
      <w:pPr>
        <w:spacing w:after="120"/>
      </w:pPr>
      <w:r>
        <w:rPr>
          <w:rFonts w:ascii="Calibri" w:hAnsi="Calibri"/>
          <w:b/>
          <w:i w:val="0"/>
          <w:color w:val="333333"/>
          <w:sz w:val="22"/>
        </w:rPr>
        <w:t>Considerations.</w:t>
      </w:r>
      <w:r>
        <w:rPr>
          <w:rFonts w:ascii="Calibri" w:hAnsi="Calibri"/>
          <w:b w:val="0"/>
          <w:i w:val="0"/>
          <w:color w:val="333333"/>
          <w:sz w:val="21"/>
        </w:rPr>
        <w:t xml:space="preserve"> GEE requires connectivity at request time (results are then cached offline); throughput is subject to Google quotas and export latency, which suits the asynchronous job model already proposed. Government/operational use should be checked against Google's Earth Engine terms and licensing, and a service account is needed for the server to call GEE without interactive sign-in.</w:t>
      </w:r>
    </w:p>
    <w:p>
      <w:pPr>
        <w:pStyle w:val="berschrift2"/>
      </w:pPr>
      <w:r>
        <w:t>6.3 Digital Earth Africa as a data source</w:t>
      </w:r>
    </w:p>
    <w:p>
      <w:pPr>
        <w:spacing w:after="120"/>
      </w:pPr>
      <w:r>
        <w:rPr>
          <w:rFonts w:ascii="Calibri" w:hAnsi="Calibri"/>
          <w:b w:val="0"/>
          <w:i w:val="0"/>
          <w:color w:val="333333"/>
          <w:sz w:val="22"/>
        </w:rPr>
        <w:t>Digital Earth Africa (DE Africa) is an open, free analysis platform holding satellite and derived products for the whole continent. LUPMIS2 relates to it in two distinct ways, and it is worth keeping them apart.</w:t>
      </w:r>
    </w:p>
    <w:p>
      <w:pPr>
        <w:spacing w:after="60"/>
        <w:ind w:left="403" w:hanging="259"/>
      </w:pPr>
      <w:r>
        <w:rPr>
          <w:rFonts w:ascii="Calibri" w:hAnsi="Calibri"/>
          <w:b/>
          <w:color w:val="1E1A4B"/>
          <w:sz w:val="22"/>
        </w:rPr>
        <w:t>•</w:t>
        <w:tab/>
      </w:r>
      <w:r>
        <w:rPr>
          <w:rFonts w:ascii="Calibri" w:hAnsi="Calibri"/>
          <w:b/>
          <w:i w:val="0"/>
          <w:color w:val="333333"/>
          <w:sz w:val="22"/>
        </w:rPr>
        <w:t>As a live map service (runtime).</w:t>
      </w:r>
      <w:r>
        <w:rPr>
          <w:rFonts w:ascii="Calibri" w:hAnsi="Calibri"/>
          <w:b w:val="0"/>
          <w:i w:val="0"/>
          <w:color w:val="333333"/>
          <w:sz w:val="22"/>
        </w:rPr>
        <w:t xml:space="preserve"> DE Africa publishes OGC web services, and LUPMIS2 already consumes one — the SRTM-derived slope layer — as a WMS overlay. This works today and needs nothing new.</w:t>
      </w:r>
    </w:p>
    <w:p>
      <w:pPr>
        <w:spacing w:after="60"/>
        <w:ind w:left="403" w:hanging="259"/>
      </w:pPr>
      <w:r>
        <w:rPr>
          <w:rFonts w:ascii="Calibri" w:hAnsi="Calibri"/>
          <w:b/>
          <w:color w:val="1E1A4B"/>
          <w:sz w:val="22"/>
        </w:rPr>
        <w:t>•</w:t>
        <w:tab/>
      </w:r>
      <w:r>
        <w:rPr>
          <w:rFonts w:ascii="Calibri" w:hAnsi="Calibri"/>
          <w:b/>
          <w:i w:val="0"/>
          <w:color w:val="333333"/>
          <w:sz w:val="22"/>
        </w:rPr>
        <w:t>As a preparation environment (batch).</w:t>
      </w:r>
      <w:r>
        <w:rPr>
          <w:rFonts w:ascii="Calibri" w:hAnsi="Calibri"/>
          <w:b w:val="0"/>
          <w:i w:val="0"/>
          <w:color w:val="333333"/>
          <w:sz w:val="22"/>
        </w:rPr>
        <w:t xml:space="preserve"> Everything else is reached through the DE Africa Sandbox, or a local install, where data is loaded, clipped to a district and exported as a Cloud-Optimized GeoTIFF. The export is then published on LUSPA infrastructure and consumed by LUPMIS2. This is a one-off ETL step per product — the same pattern already used for the OpenTopography contours — not a live connection.</w:t>
      </w:r>
    </w:p>
    <w:p>
      <w:pPr>
        <w:spacing w:after="120"/>
      </w:pPr>
      <w:r>
        <w:rPr>
          <w:rFonts w:ascii="Calibri" w:hAnsi="Calibri"/>
          <w:b/>
          <w:i w:val="0"/>
          <w:color w:val="333333"/>
          <w:sz w:val="22"/>
        </w:rPr>
        <w:t>Export is a single call.</w:t>
      </w:r>
      <w:r>
        <w:rPr>
          <w:rFonts w:ascii="Calibri" w:hAnsi="Calibri"/>
          <w:b w:val="0"/>
          <w:i w:val="0"/>
          <w:color w:val="333333"/>
          <w:sz w:val="22"/>
        </w:rPr>
        <w:t xml:space="preserve"> In the Sandbox, data is loaded from the data cube as an xarray object and written with datacube.utils.cog.write_cog() — for a single band or, via .to_array(), for a multi-band composite. The output is a COG intended for HTTP hosting, so no tile service or pyramid build is required.</w:t>
      </w:r>
    </w:p>
    <w:p>
      <w:pPr>
        <w:spacing w:after="120"/>
      </w:pPr>
      <w:r>
        <w:rPr>
          <w:rFonts w:ascii="Calibri" w:hAnsi="Calibri"/>
          <w:b/>
          <w:i w:val="0"/>
          <w:color w:val="333333"/>
          <w:sz w:val="22"/>
        </w:rPr>
        <w:t>Sandbox or local install.</w:t>
      </w:r>
      <w:r>
        <w:rPr>
          <w:rFonts w:ascii="Calibri" w:hAnsi="Calibri"/>
          <w:b w:val="0"/>
          <w:i w:val="0"/>
          <w:color w:val="333333"/>
          <w:sz w:val="22"/>
        </w:rPr>
        <w:t xml:space="preserve"> The hosted Sandbox needs no setup. A local environment is also supported (conda with GDAL, geopandas, rasterio and odc-stac), but DE Africa's own documentation cautions that functions depending on the Open Data Cube — dc.load and load_ard — will not work without additional configuration, meaning a database. For occasional district exports the Sandbox is the lower-maintenance choice; a local install is only worth it if exports become routine and need to run unattended.</w:t>
      </w:r>
    </w:p>
    <w:p>
      <w:pPr>
        <w:spacing w:after="120"/>
      </w:pPr>
      <w:r>
        <w:rPr>
          <w:rFonts w:ascii="Calibri" w:hAnsi="Calibri"/>
          <w:b/>
          <w:i w:val="0"/>
          <w:color w:val="1E1A4B"/>
          <w:sz w:val="22"/>
        </w:rPr>
        <w:t>Why this matters for LUSPA.</w:t>
      </w:r>
      <w:r>
        <w:rPr>
          <w:rFonts w:ascii="Calibri" w:hAnsi="Calibri"/>
          <w:b w:val="0"/>
          <w:i w:val="0"/>
          <w:color w:val="333333"/>
          <w:sz w:val="22"/>
        </w:rPr>
        <w:t xml:space="preserve"> DE Africa is a public good built explicitly for African institutional use, so it carries none of the operational/commercial licensing questions that Google Earth Engine raises for a government agency (see Section 13). It covers the same families of data needed here, and LUSPA already has a working relationship with the platform.</w:t>
      </w:r>
    </w:p>
    <w:p>
      <w:pPr>
        <w:spacing w:after="60"/>
      </w:pPr>
      <w:r>
        <w:rPr>
          <w:rFonts w:ascii="Calibri" w:hAnsi="Calibri"/>
          <w:b/>
          <w:i w:val="0"/>
          <w:color w:val="1E1A4B"/>
          <w:sz w:val="22"/>
        </w:rPr>
        <w:t>Representative products relevant to LUPMIS2</w:t>
      </w:r>
      <w:r>
        <w:rPr>
          <w:rFonts w:ascii="Calibri" w:hAnsi="Calibri"/>
          <w:b w:val="0"/>
          <w:i w:val="0"/>
          <w:color w:val="333333"/>
          <w:sz w:val="22"/>
        </w:rPr>
        <w:t>:</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3456"/>
            <w:shd w:val="clear" w:fill="1E1A4B"/>
          </w:tcPr>
          <w:p>
            <w:pPr>
              <w:spacing w:after="20" w:before="20"/>
            </w:pPr>
            <w:r/>
            <w:r>
              <w:rPr>
                <w:rFonts w:ascii="Calibri" w:hAnsi="Calibri"/>
                <w:b/>
                <w:color w:val="FFFFFF"/>
                <w:sz w:val="19"/>
              </w:rPr>
              <w:t>DE Africa product</w:t>
            </w:r>
          </w:p>
        </w:tc>
        <w:tc>
          <w:tcPr>
            <w:tcW w:type="dxa" w:w="3312"/>
            <w:shd w:val="clear" w:fill="1E1A4B"/>
          </w:tcPr>
          <w:p>
            <w:pPr>
              <w:spacing w:after="20" w:before="20"/>
            </w:pPr>
            <w:r/>
            <w:r>
              <w:rPr>
                <w:rFonts w:ascii="Calibri" w:hAnsi="Calibri"/>
                <w:b/>
                <w:color w:val="FFFFFF"/>
                <w:sz w:val="19"/>
              </w:rPr>
              <w:t>Provides</w:t>
            </w:r>
          </w:p>
        </w:tc>
        <w:tc>
          <w:tcPr>
            <w:tcW w:type="dxa" w:w="3168"/>
            <w:shd w:val="clear" w:fill="1E1A4B"/>
          </w:tcPr>
          <w:p>
            <w:pPr>
              <w:spacing w:after="20" w:before="20"/>
            </w:pPr>
            <w:r/>
            <w:r>
              <w:rPr>
                <w:rFonts w:ascii="Calibri" w:hAnsi="Calibri"/>
                <w:b/>
                <w:color w:val="FFFFFF"/>
                <w:sz w:val="19"/>
              </w:rPr>
              <w:t>Feeds</w:t>
            </w:r>
          </w:p>
        </w:tc>
      </w:tr>
      <w:tr>
        <w:trPr>
          <w:cantSplit/>
        </w:trPr>
        <w:tc>
          <w:tcPr>
            <w:tcW w:type="dxa" w:w="3456"/>
            <w:shd w:val="clear" w:fill="FFFFFF"/>
          </w:tcPr>
          <w:p>
            <w:pPr>
              <w:spacing w:after="20" w:before="20"/>
            </w:pPr>
            <w:r/>
            <w:r>
              <w:rPr>
                <w:rFonts w:ascii="Calibri" w:hAnsi="Calibri"/>
                <w:b/>
                <w:color w:val="333333"/>
                <w:sz w:val="18"/>
              </w:rPr>
              <w:t>Sentinel-2 / Landsat surface reflectance</w:t>
            </w:r>
          </w:p>
        </w:tc>
        <w:tc>
          <w:tcPr>
            <w:tcW w:type="dxa" w:w="3312"/>
            <w:shd w:val="clear" w:fill="FFFFFF"/>
          </w:tcPr>
          <w:p>
            <w:pPr>
              <w:spacing w:after="20" w:before="20"/>
            </w:pPr>
            <w:r/>
            <w:r>
              <w:rPr>
                <w:rFonts w:ascii="Calibri" w:hAnsi="Calibri"/>
                <w:b w:val="0"/>
                <w:color w:val="333333"/>
                <w:sz w:val="18"/>
              </w:rPr>
              <w:t>Optical imagery and indices (NDVI, NDWI)</w:t>
            </w:r>
          </w:p>
        </w:tc>
        <w:tc>
          <w:tcPr>
            <w:tcW w:type="dxa" w:w="3168"/>
            <w:shd w:val="clear" w:fill="FFFFFF"/>
          </w:tcPr>
          <w:p>
            <w:pPr>
              <w:spacing w:after="20" w:before="20"/>
            </w:pPr>
            <w:r/>
            <w:r>
              <w:rPr>
                <w:rFonts w:ascii="Calibri" w:hAnsi="Calibri"/>
                <w:b w:val="0"/>
                <w:color w:val="333333"/>
                <w:sz w:val="18"/>
              </w:rPr>
              <w:t>Overlays · display · land-cover context</w:t>
            </w:r>
          </w:p>
        </w:tc>
      </w:tr>
      <w:tr>
        <w:trPr>
          <w:cantSplit/>
        </w:trPr>
        <w:tc>
          <w:tcPr>
            <w:tcW w:type="dxa" w:w="3456"/>
            <w:shd w:val="clear" w:fill="F0F0F8"/>
          </w:tcPr>
          <w:p>
            <w:pPr>
              <w:spacing w:after="20" w:before="20"/>
            </w:pPr>
            <w:r/>
            <w:r>
              <w:rPr>
                <w:rFonts w:ascii="Calibri" w:hAnsi="Calibri"/>
                <w:b/>
                <w:color w:val="333333"/>
                <w:sz w:val="18"/>
              </w:rPr>
              <w:t>Sentinel-1 radar</w:t>
            </w:r>
          </w:p>
        </w:tc>
        <w:tc>
          <w:tcPr>
            <w:tcW w:type="dxa" w:w="3312"/>
            <w:shd w:val="clear" w:fill="F0F0F8"/>
          </w:tcPr>
          <w:p>
            <w:pPr>
              <w:spacing w:after="20" w:before="20"/>
            </w:pPr>
            <w:r/>
            <w:r>
              <w:rPr>
                <w:rFonts w:ascii="Calibri" w:hAnsi="Calibri"/>
                <w:b w:val="0"/>
                <w:color w:val="333333"/>
                <w:sz w:val="18"/>
              </w:rPr>
              <w:t>All-weather imagery, flood extent mapping</w:t>
            </w:r>
          </w:p>
        </w:tc>
        <w:tc>
          <w:tcPr>
            <w:tcW w:type="dxa" w:w="3168"/>
            <w:shd w:val="clear" w:fill="F0F0F8"/>
          </w:tcPr>
          <w:p>
            <w:pPr>
              <w:spacing w:after="20" w:before="20"/>
            </w:pPr>
            <w:r/>
            <w:r>
              <w:rPr>
                <w:rFonts w:ascii="Calibri" w:hAnsi="Calibri"/>
                <w:b w:val="0"/>
                <w:color w:val="333333"/>
                <w:sz w:val="18"/>
              </w:rPr>
              <w:t>Hydrology / flood · display</w:t>
            </w:r>
          </w:p>
        </w:tc>
      </w:tr>
      <w:tr>
        <w:trPr>
          <w:cantSplit/>
        </w:trPr>
        <w:tc>
          <w:tcPr>
            <w:tcW w:type="dxa" w:w="3456"/>
            <w:shd w:val="clear" w:fill="FFFFFF"/>
          </w:tcPr>
          <w:p>
            <w:pPr>
              <w:spacing w:after="20" w:before="20"/>
            </w:pPr>
            <w:r/>
            <w:r>
              <w:rPr>
                <w:rFonts w:ascii="Calibri" w:hAnsi="Calibri"/>
                <w:b/>
                <w:color w:val="333333"/>
                <w:sz w:val="18"/>
              </w:rPr>
              <w:t>SRTM-derived slope &amp; terrain (srtm_deriv)</w:t>
            </w:r>
          </w:p>
        </w:tc>
        <w:tc>
          <w:tcPr>
            <w:tcW w:type="dxa" w:w="3312"/>
            <w:shd w:val="clear" w:fill="FFFFFF"/>
          </w:tcPr>
          <w:p>
            <w:pPr>
              <w:spacing w:after="20" w:before="20"/>
            </w:pPr>
            <w:r/>
            <w:r>
              <w:rPr>
                <w:rFonts w:ascii="Calibri" w:hAnsi="Calibri"/>
                <w:b w:val="0"/>
                <w:color w:val="333333"/>
                <w:sz w:val="18"/>
              </w:rPr>
              <w:t>Slope, valley-bottom and terrain indices</w:t>
            </w:r>
          </w:p>
        </w:tc>
        <w:tc>
          <w:tcPr>
            <w:tcW w:type="dxa" w:w="3168"/>
            <w:shd w:val="clear" w:fill="FFFFFF"/>
          </w:tcPr>
          <w:p>
            <w:pPr>
              <w:spacing w:after="20" w:before="20"/>
            </w:pPr>
            <w:r/>
            <w:r>
              <w:rPr>
                <w:rFonts w:ascii="Calibri" w:hAnsi="Calibri"/>
                <w:b w:val="0"/>
                <w:color w:val="333333"/>
                <w:sz w:val="18"/>
              </w:rPr>
              <w:t>Terrain analysis · zonal statistics</w:t>
            </w:r>
          </w:p>
        </w:tc>
      </w:tr>
      <w:tr>
        <w:trPr>
          <w:cantSplit/>
        </w:trPr>
        <w:tc>
          <w:tcPr>
            <w:tcW w:type="dxa" w:w="3456"/>
            <w:shd w:val="clear" w:fill="F0F0F8"/>
          </w:tcPr>
          <w:p>
            <w:pPr>
              <w:spacing w:after="20" w:before="20"/>
            </w:pPr>
            <w:r/>
            <w:r>
              <w:rPr>
                <w:rFonts w:ascii="Calibri" w:hAnsi="Calibri"/>
                <w:b/>
                <w:color w:val="333333"/>
                <w:sz w:val="18"/>
              </w:rPr>
              <w:t>Water Observations from Space (WOfS)</w:t>
            </w:r>
          </w:p>
        </w:tc>
        <w:tc>
          <w:tcPr>
            <w:tcW w:type="dxa" w:w="3312"/>
            <w:shd w:val="clear" w:fill="F0F0F8"/>
          </w:tcPr>
          <w:p>
            <w:pPr>
              <w:spacing w:after="20" w:before="20"/>
            </w:pPr>
            <w:r/>
            <w:r>
              <w:rPr>
                <w:rFonts w:ascii="Calibri" w:hAnsi="Calibri"/>
                <w:b w:val="0"/>
                <w:color w:val="333333"/>
                <w:sz w:val="18"/>
              </w:rPr>
              <w:t>Historic surface-water frequency</w:t>
            </w:r>
          </w:p>
        </w:tc>
        <w:tc>
          <w:tcPr>
            <w:tcW w:type="dxa" w:w="3168"/>
            <w:shd w:val="clear" w:fill="F0F0F8"/>
          </w:tcPr>
          <w:p>
            <w:pPr>
              <w:spacing w:after="20" w:before="20"/>
            </w:pPr>
            <w:r/>
            <w:r>
              <w:rPr>
                <w:rFonts w:ascii="Calibri" w:hAnsi="Calibri"/>
                <w:b w:val="0"/>
                <w:color w:val="333333"/>
                <w:sz w:val="18"/>
              </w:rPr>
              <w:t>Hydrology / flood screening</w:t>
            </w:r>
          </w:p>
        </w:tc>
      </w:tr>
      <w:tr>
        <w:trPr>
          <w:cantSplit/>
        </w:trPr>
        <w:tc>
          <w:tcPr>
            <w:tcW w:type="dxa" w:w="3456"/>
            <w:shd w:val="clear" w:fill="FFFFFF"/>
          </w:tcPr>
          <w:p>
            <w:pPr>
              <w:spacing w:after="20" w:before="20"/>
            </w:pPr>
            <w:r/>
            <w:r>
              <w:rPr>
                <w:rFonts w:ascii="Calibri" w:hAnsi="Calibri"/>
                <w:b/>
                <w:color w:val="333333"/>
                <w:sz w:val="18"/>
              </w:rPr>
              <w:t>Cropland extent &amp; land cover</w:t>
            </w:r>
          </w:p>
        </w:tc>
        <w:tc>
          <w:tcPr>
            <w:tcW w:type="dxa" w:w="3312"/>
            <w:shd w:val="clear" w:fill="FFFFFF"/>
          </w:tcPr>
          <w:p>
            <w:pPr>
              <w:spacing w:after="20" w:before="20"/>
            </w:pPr>
            <w:r/>
            <w:r>
              <w:rPr>
                <w:rFonts w:ascii="Calibri" w:hAnsi="Calibri"/>
                <w:b w:val="0"/>
                <w:color w:val="333333"/>
                <w:sz w:val="18"/>
              </w:rPr>
              <w:t>Agricultural and land-cover classification</w:t>
            </w:r>
          </w:p>
        </w:tc>
        <w:tc>
          <w:tcPr>
            <w:tcW w:type="dxa" w:w="3168"/>
            <w:shd w:val="clear" w:fill="FFFFFF"/>
          </w:tcPr>
          <w:p>
            <w:pPr>
              <w:spacing w:after="20" w:before="20"/>
            </w:pPr>
            <w:r/>
            <w:r>
              <w:rPr>
                <w:rFonts w:ascii="Calibri" w:hAnsi="Calibri"/>
                <w:b w:val="0"/>
                <w:color w:val="333333"/>
                <w:sz w:val="18"/>
              </w:rPr>
              <w:t>Overlays · zonal statistics</w:t>
            </w:r>
          </w:p>
        </w:tc>
      </w:tr>
      <w:tr>
        <w:trPr>
          <w:cantSplit/>
        </w:trPr>
        <w:tc>
          <w:tcPr>
            <w:tcW w:type="dxa" w:w="3456"/>
            <w:shd w:val="clear" w:fill="F0F0F8"/>
          </w:tcPr>
          <w:p>
            <w:pPr>
              <w:spacing w:after="20" w:before="20"/>
            </w:pPr>
            <w:r/>
            <w:r>
              <w:rPr>
                <w:rFonts w:ascii="Calibri" w:hAnsi="Calibri"/>
                <w:b/>
                <w:color w:val="333333"/>
                <w:sz w:val="18"/>
              </w:rPr>
              <w:t>Digital Elevation Model</w:t>
            </w:r>
          </w:p>
        </w:tc>
        <w:tc>
          <w:tcPr>
            <w:tcW w:type="dxa" w:w="3312"/>
            <w:shd w:val="clear" w:fill="F0F0F8"/>
          </w:tcPr>
          <w:p>
            <w:pPr>
              <w:spacing w:after="20" w:before="20"/>
            </w:pPr>
            <w:r/>
            <w:r>
              <w:rPr>
                <w:rFonts w:ascii="Calibri" w:hAnsi="Calibri"/>
                <w:b w:val="0"/>
                <w:color w:val="333333"/>
                <w:sz w:val="18"/>
              </w:rPr>
              <w:t>Elevation and derived terrain</w:t>
            </w:r>
          </w:p>
        </w:tc>
        <w:tc>
          <w:tcPr>
            <w:tcW w:type="dxa" w:w="3168"/>
            <w:shd w:val="clear" w:fill="F0F0F8"/>
          </w:tcPr>
          <w:p>
            <w:pPr>
              <w:spacing w:after="20" w:before="20"/>
            </w:pPr>
            <w:r/>
            <w:r>
              <w:rPr>
                <w:rFonts w:ascii="Calibri" w:hAnsi="Calibri"/>
                <w:b w:val="0"/>
                <w:color w:val="333333"/>
                <w:sz w:val="18"/>
              </w:rPr>
              <w:t>Terrain · hydrology · zonal statistics</w:t>
            </w:r>
          </w:p>
        </w:tc>
      </w:tr>
      <w:tr>
        <w:trPr>
          <w:cantSplit/>
        </w:trPr>
        <w:tc>
          <w:tcPr>
            <w:tcW w:type="dxa" w:w="3456"/>
            <w:shd w:val="clear" w:fill="FFFFFF"/>
          </w:tcPr>
          <w:p>
            <w:pPr>
              <w:spacing w:after="20" w:before="20"/>
            </w:pPr>
            <w:r/>
            <w:r>
              <w:rPr>
                <w:rFonts w:ascii="Calibri" w:hAnsi="Calibri"/>
                <w:b/>
                <w:color w:val="333333"/>
                <w:sz w:val="18"/>
              </w:rPr>
              <w:t>Rainfall (CHIRPS) &amp; climate (ERA5)</w:t>
            </w:r>
          </w:p>
        </w:tc>
        <w:tc>
          <w:tcPr>
            <w:tcW w:type="dxa" w:w="3312"/>
            <w:shd w:val="clear" w:fill="FFFFFF"/>
          </w:tcPr>
          <w:p>
            <w:pPr>
              <w:spacing w:after="20" w:before="20"/>
            </w:pPr>
            <w:r/>
            <w:r>
              <w:rPr>
                <w:rFonts w:ascii="Calibri" w:hAnsi="Calibri"/>
                <w:b w:val="0"/>
                <w:color w:val="333333"/>
                <w:sz w:val="18"/>
              </w:rPr>
              <w:t>Precipitation and climate variables</w:t>
            </w:r>
          </w:p>
        </w:tc>
        <w:tc>
          <w:tcPr>
            <w:tcW w:type="dxa" w:w="3168"/>
            <w:shd w:val="clear" w:fill="FFFFFF"/>
          </w:tcPr>
          <w:p>
            <w:pPr>
              <w:spacing w:after="20" w:before="20"/>
            </w:pPr>
            <w:r/>
            <w:r>
              <w:rPr>
                <w:rFonts w:ascii="Calibri" w:hAnsi="Calibri"/>
                <w:b w:val="0"/>
                <w:color w:val="333333"/>
                <w:sz w:val="18"/>
              </w:rPr>
              <w:t>Hydrology inputs</w:t>
            </w:r>
          </w:p>
        </w:tc>
      </w:tr>
      <w:tr>
        <w:trPr>
          <w:cantSplit/>
        </w:trPr>
        <w:tc>
          <w:tcPr>
            <w:tcW w:type="dxa" w:w="3456"/>
            <w:shd w:val="clear" w:fill="F0F0F8"/>
          </w:tcPr>
          <w:p>
            <w:pPr>
              <w:spacing w:after="20" w:before="20"/>
            </w:pPr>
            <w:r/>
            <w:r>
              <w:rPr>
                <w:rFonts w:ascii="Calibri" w:hAnsi="Calibri"/>
                <w:b/>
                <w:color w:val="333333"/>
                <w:sz w:val="18"/>
              </w:rPr>
              <w:t>Waterbodies &amp; water quality</w:t>
            </w:r>
          </w:p>
        </w:tc>
        <w:tc>
          <w:tcPr>
            <w:tcW w:type="dxa" w:w="3312"/>
            <w:shd w:val="clear" w:fill="F0F0F8"/>
          </w:tcPr>
          <w:p>
            <w:pPr>
              <w:spacing w:after="20" w:before="20"/>
            </w:pPr>
            <w:r/>
            <w:r>
              <w:rPr>
                <w:rFonts w:ascii="Calibri" w:hAnsi="Calibri"/>
                <w:b w:val="0"/>
                <w:color w:val="333333"/>
                <w:sz w:val="18"/>
              </w:rPr>
              <w:t>Mapped water bodies and seasonality</w:t>
            </w:r>
          </w:p>
        </w:tc>
        <w:tc>
          <w:tcPr>
            <w:tcW w:type="dxa" w:w="3168"/>
            <w:shd w:val="clear" w:fill="F0F0F8"/>
          </w:tcPr>
          <w:p>
            <w:pPr>
              <w:spacing w:after="20" w:before="20"/>
            </w:pPr>
            <w:r/>
            <w:r>
              <w:rPr>
                <w:rFonts w:ascii="Calibri" w:hAnsi="Calibri"/>
                <w:b w:val="0"/>
                <w:color w:val="333333"/>
                <w:sz w:val="18"/>
              </w:rPr>
              <w:t>Hydrology / flood screening</w:t>
            </w:r>
          </w:p>
        </w:tc>
      </w:tr>
    </w:tbl>
    <w:p>
      <w:pPr>
        <w:spacing w:after="80"/>
      </w:pPr>
    </w:p>
    <w:p>
      <w:pPr>
        <w:spacing w:after="120"/>
      </w:pPr>
      <w:r>
        <w:rPr>
          <w:rFonts w:ascii="Calibri" w:hAnsi="Calibri"/>
          <w:b/>
          <w:i w:val="0"/>
          <w:color w:val="333333"/>
          <w:sz w:val="22"/>
        </w:rPr>
        <w:t>Practical note.</w:t>
      </w:r>
      <w:r>
        <w:rPr>
          <w:rFonts w:ascii="Calibri" w:hAnsi="Calibri"/>
          <w:b w:val="0"/>
          <w:i w:val="0"/>
          <w:color w:val="333333"/>
          <w:sz w:val="21"/>
        </w:rPr>
        <w:t xml:space="preserve"> write_cog() writes to the Sandbox filesystem or an object store. To display a product in LUPMIS2 the file must then be served over HTTPS with CORS enabled and byte-range requests supported — the publication step is the only part not covered by the Sandbox itself. Because the export is already a COG, an officer uploading one through the Stage 2 pipeline needs no server-side conversion, only validation.</w:t>
      </w:r>
    </w:p>
    <w:p>
      <w:pPr>
        <w:spacing w:after="120"/>
      </w:pPr>
      <w:r>
        <w:rPr>
          <w:rFonts w:ascii="Calibri" w:hAnsi="Calibri"/>
          <w:b w:val="0"/>
          <w:i/>
          <w:color w:val="6B7280"/>
          <w:sz w:val="20"/>
        </w:rPr>
        <w:t>The full product list is maintained as example notebooks in DE Africa's public Datasets catalogue, which is the practical starting point for identifying what is available and how to load it.</w:t>
      </w:r>
    </w:p>
    <w:p>
      <w:pPr>
        <w:spacing w:after="120"/>
      </w:pPr>
      <w:r>
        <w:rPr>
          <w:rFonts w:ascii="Calibri" w:hAnsi="Calibri"/>
          <w:b w:val="0"/>
          <w:i/>
          <w:color w:val="6B7280"/>
          <w:sz w:val="20"/>
        </w:rPr>
        <w:t>Earth Engine and DE Africa are complementary rather than exclusive: Earth Engine offers a wider global catalogue and in-cloud computation, DE Africa offers an Africa-focused, openly licensed catalogue with a direct COG export path. The recommendation is to start with DE Africa for terrain, imagery and water products, and use Earth Engine where a dataset or computation is only available there.</w:t>
      </w:r>
    </w:p>
    <w:p>
      <w:pPr>
        <w:pStyle w:val="berschrift2"/>
      </w:pPr>
      <w:r>
        <w:t>6.4 Display versus analysis</w:t>
      </w:r>
    </w:p>
    <w:p>
      <w:pPr>
        <w:spacing w:after="60"/>
        <w:ind w:left="403" w:hanging="259"/>
      </w:pPr>
      <w:r>
        <w:rPr>
          <w:rFonts w:ascii="Calibri" w:hAnsi="Calibri"/>
          <w:b/>
          <w:color w:val="1E1A4B"/>
          <w:sz w:val="22"/>
        </w:rPr>
        <w:t>•</w:t>
        <w:tab/>
      </w:r>
      <w:r>
        <w:rPr>
          <w:rFonts w:ascii="Calibri" w:hAnsi="Calibri"/>
          <w:b/>
          <w:i w:val="0"/>
          <w:color w:val="333333"/>
          <w:sz w:val="22"/>
        </w:rPr>
        <w:t>Display (client).</w:t>
      </w:r>
      <w:r>
        <w:rPr>
          <w:rFonts w:ascii="Calibri" w:hAnsi="Calibri"/>
          <w:b w:val="0"/>
          <w:i w:val="0"/>
          <w:color w:val="333333"/>
          <w:sz w:val="22"/>
        </w:rPr>
        <w:t xml:space="preserve"> COGs render in the browser through OpenLayers/WebGL; hillshade and colour ramps are applied on the fly. This is lightweight and offline-friendly.</w:t>
      </w:r>
    </w:p>
    <w:p>
      <w:pPr>
        <w:spacing w:after="60"/>
        <w:ind w:left="403" w:hanging="259"/>
      </w:pPr>
      <w:r>
        <w:rPr>
          <w:rFonts w:ascii="Calibri" w:hAnsi="Calibri"/>
          <w:b/>
          <w:color w:val="1E1A4B"/>
          <w:sz w:val="22"/>
        </w:rPr>
        <w:t>•</w:t>
        <w:tab/>
      </w:r>
      <w:r>
        <w:rPr>
          <w:rFonts w:ascii="Calibri" w:hAnsi="Calibri"/>
          <w:b/>
          <w:i w:val="0"/>
          <w:color w:val="333333"/>
          <w:sz w:val="22"/>
        </w:rPr>
        <w:t>Analysis (server).</w:t>
      </w:r>
      <w:r>
        <w:rPr>
          <w:rFonts w:ascii="Calibri" w:hAnsi="Calibri"/>
          <w:b w:val="0"/>
          <w:i w:val="0"/>
          <w:color w:val="333333"/>
          <w:sz w:val="22"/>
        </w:rPr>
        <w:t xml:space="preserve"> Pixel-level computation (map algebra, zonal statistics, flow accumulation) runs server-side with PostGIS Raster or GDAL/WhiteboxTools, never in the phone browser.</w:t>
      </w:r>
    </w:p>
    <w:p>
      <w:pPr>
        <w:pStyle w:val="berschrift1"/>
      </w:pPr>
      <w:r>
        <w:t>7. The Five Analytical Tool Families</w:t>
      </w:r>
    </w:p>
    <w:p>
      <w:pPr>
        <w:spacing w:after="120"/>
      </w:pPr>
      <w:r>
        <w:rPr>
          <w:rFonts w:ascii="Calibri" w:hAnsi="Calibri"/>
          <w:b w:val="0"/>
          <w:i w:val="0"/>
          <w:color w:val="333333"/>
          <w:sz w:val="22"/>
        </w:rPr>
        <w:t>The table gives the at-a-glance picture; the subsections add detail. “Tier” shows where the work runs; “Complexity” is the build-and-maintain burden for a small team.</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1504"/>
        <w:gridCol w:w="1504"/>
        <w:gridCol w:w="1504"/>
        <w:gridCol w:w="1504"/>
        <w:gridCol w:w="1504"/>
        <w:gridCol w:w="1504"/>
      </w:tblGrid>
      <w:tr>
        <w:trPr>
          <w:tblHeader w:val="true"/>
        </w:trPr>
        <w:tc>
          <w:tcPr>
            <w:tcW w:type="dxa" w:w="2448"/>
            <w:shd w:val="clear" w:fill="1E1A4B"/>
          </w:tcPr>
          <w:p>
            <w:pPr>
              <w:spacing w:after="20" w:before="20"/>
            </w:pPr>
            <w:r/>
            <w:r>
              <w:rPr>
                <w:rFonts w:ascii="Calibri" w:hAnsi="Calibri"/>
                <w:b/>
                <w:color w:val="FFFFFF"/>
                <w:sz w:val="20"/>
              </w:rPr>
              <w:t>Tool family</w:t>
            </w:r>
          </w:p>
        </w:tc>
        <w:tc>
          <w:tcPr>
            <w:tcW w:type="dxa" w:w="1944"/>
            <w:shd w:val="clear" w:fill="1E1A4B"/>
          </w:tcPr>
          <w:p>
            <w:pPr>
              <w:spacing w:after="20" w:before="20"/>
            </w:pPr>
            <w:r/>
            <w:r>
              <w:rPr>
                <w:rFonts w:ascii="Calibri" w:hAnsi="Calibri"/>
                <w:b/>
                <w:color w:val="FFFFFF"/>
                <w:sz w:val="20"/>
              </w:rPr>
              <w:t>Data</w:t>
            </w:r>
          </w:p>
        </w:tc>
        <w:tc>
          <w:tcPr>
            <w:tcW w:type="dxa" w:w="2016"/>
            <w:shd w:val="clear" w:fill="1E1A4B"/>
          </w:tcPr>
          <w:p>
            <w:pPr>
              <w:spacing w:after="20" w:before="20"/>
            </w:pPr>
            <w:r/>
            <w:r>
              <w:rPr>
                <w:rFonts w:ascii="Calibri" w:hAnsi="Calibri"/>
                <w:b/>
                <w:color w:val="FFFFFF"/>
                <w:sz w:val="20"/>
              </w:rPr>
              <w:t>Tier</w:t>
            </w:r>
          </w:p>
        </w:tc>
        <w:tc>
          <w:tcPr>
            <w:tcW w:type="dxa" w:w="2160"/>
            <w:shd w:val="clear" w:fill="1E1A4B"/>
          </w:tcPr>
          <w:p>
            <w:pPr>
              <w:spacing w:after="20" w:before="20"/>
            </w:pPr>
            <w:r/>
            <w:r>
              <w:rPr>
                <w:rFonts w:ascii="Calibri" w:hAnsi="Calibri"/>
                <w:b/>
                <w:color w:val="FFFFFF"/>
                <w:sz w:val="20"/>
              </w:rPr>
              <w:t>Engine</w:t>
            </w:r>
          </w:p>
        </w:tc>
        <w:tc>
          <w:tcPr>
            <w:tcW w:type="dxa" w:w="1224"/>
            <w:shd w:val="clear" w:fill="1E1A4B"/>
          </w:tcPr>
          <w:p>
            <w:pPr>
              <w:spacing w:after="20" w:before="20"/>
            </w:pPr>
            <w:r/>
            <w:r>
              <w:rPr>
                <w:rFonts w:ascii="Calibri" w:hAnsi="Calibri"/>
                <w:b/>
                <w:color w:val="FFFFFF"/>
                <w:sz w:val="20"/>
              </w:rPr>
              <w:t>Stage</w:t>
            </w:r>
          </w:p>
        </w:tc>
        <w:tc>
          <w:tcPr>
            <w:tcW w:type="dxa" w:w="1224"/>
            <w:shd w:val="clear" w:fill="1E1A4B"/>
          </w:tcPr>
          <w:p>
            <w:pPr>
              <w:spacing w:after="20" w:before="20"/>
            </w:pPr>
            <w:r/>
            <w:r>
              <w:rPr>
                <w:rFonts w:ascii="Calibri" w:hAnsi="Calibri"/>
                <w:b/>
                <w:color w:val="FFFFFF"/>
                <w:sz w:val="20"/>
              </w:rPr>
              <w:t>Complexity</w:t>
            </w:r>
          </w:p>
        </w:tc>
      </w:tr>
      <w:tr>
        <w:trPr>
          <w:cantSplit/>
        </w:trPr>
        <w:tc>
          <w:tcPr>
            <w:tcW w:type="dxa" w:w="2448"/>
            <w:shd w:val="clear" w:fill="FFFFFF"/>
          </w:tcPr>
          <w:p>
            <w:pPr>
              <w:spacing w:after="20" w:before="20"/>
            </w:pPr>
            <w:r/>
            <w:r>
              <w:rPr>
                <w:rFonts w:ascii="Calibri" w:hAnsi="Calibri"/>
                <w:b w:val="0"/>
                <w:color w:val="333333"/>
                <w:sz w:val="19"/>
              </w:rPr>
              <w:t>Overlays</w:t>
            </w:r>
          </w:p>
        </w:tc>
        <w:tc>
          <w:tcPr>
            <w:tcW w:type="dxa" w:w="1944"/>
            <w:shd w:val="clear" w:fill="FFFFFF"/>
          </w:tcPr>
          <w:p>
            <w:pPr>
              <w:spacing w:after="20" w:before="20"/>
            </w:pPr>
            <w:r/>
            <w:r>
              <w:rPr>
                <w:rFonts w:ascii="Calibri" w:hAnsi="Calibri"/>
                <w:b w:val="0"/>
                <w:color w:val="333333"/>
                <w:sz w:val="19"/>
              </w:rPr>
              <w:t>Vector (raster opt.)</w:t>
            </w:r>
          </w:p>
        </w:tc>
        <w:tc>
          <w:tcPr>
            <w:tcW w:type="dxa" w:w="2016"/>
            <w:shd w:val="clear" w:fill="FFFFFF"/>
          </w:tcPr>
          <w:p>
            <w:pPr>
              <w:spacing w:after="20" w:before="20"/>
            </w:pPr>
            <w:r/>
            <w:r>
              <w:rPr>
                <w:rFonts w:ascii="Calibri" w:hAnsi="Calibri"/>
                <w:b w:val="0"/>
                <w:color w:val="333333"/>
                <w:sz w:val="19"/>
              </w:rPr>
              <w:t>Client + Server</w:t>
            </w:r>
          </w:p>
        </w:tc>
        <w:tc>
          <w:tcPr>
            <w:tcW w:type="dxa" w:w="2160"/>
            <w:shd w:val="clear" w:fill="FFFFFF"/>
          </w:tcPr>
          <w:p>
            <w:pPr>
              <w:spacing w:after="20" w:before="20"/>
            </w:pPr>
            <w:r/>
            <w:r>
              <w:rPr>
                <w:rFonts w:ascii="Calibri" w:hAnsi="Calibri"/>
                <w:b w:val="0"/>
                <w:color w:val="333333"/>
                <w:sz w:val="19"/>
              </w:rPr>
              <w:t>Turf.js / PostGIS</w:t>
            </w:r>
          </w:p>
        </w:tc>
        <w:tc>
          <w:tcPr>
            <w:tcW w:type="dxa" w:w="1224"/>
            <w:shd w:val="clear" w:fill="FFFFFF"/>
          </w:tcPr>
          <w:p>
            <w:pPr>
              <w:spacing w:after="20" w:before="20"/>
            </w:pPr>
            <w:r/>
            <w:r>
              <w:rPr>
                <w:rFonts w:ascii="Calibri" w:hAnsi="Calibri"/>
                <w:b w:val="0"/>
                <w:color w:val="333333"/>
                <w:sz w:val="19"/>
              </w:rPr>
              <w:t>Stage 1</w:t>
            </w:r>
          </w:p>
        </w:tc>
        <w:tc>
          <w:tcPr>
            <w:tcW w:type="dxa" w:w="1224"/>
            <w:shd w:val="clear" w:fill="FFFFFF"/>
          </w:tcPr>
          <w:p>
            <w:pPr>
              <w:spacing w:after="20" w:before="20"/>
            </w:pPr>
            <w:r/>
            <w:r>
              <w:rPr>
                <w:rFonts w:ascii="Calibri" w:hAnsi="Calibri"/>
                <w:b/>
                <w:color w:val="16A34A"/>
                <w:sz w:val="19"/>
              </w:rPr>
              <w:t>Low</w:t>
            </w:r>
          </w:p>
        </w:tc>
      </w:tr>
      <w:tr>
        <w:trPr>
          <w:cantSplit/>
        </w:trPr>
        <w:tc>
          <w:tcPr>
            <w:tcW w:type="dxa" w:w="2448"/>
            <w:shd w:val="clear" w:fill="F0F0F8"/>
          </w:tcPr>
          <w:p>
            <w:pPr>
              <w:spacing w:after="20" w:before="20"/>
            </w:pPr>
            <w:r/>
            <w:r>
              <w:rPr>
                <w:rFonts w:ascii="Calibri" w:hAnsi="Calibri"/>
                <w:b w:val="0"/>
                <w:color w:val="333333"/>
                <w:sz w:val="19"/>
              </w:rPr>
              <w:t>Zonal Statistics</w:t>
            </w:r>
          </w:p>
        </w:tc>
        <w:tc>
          <w:tcPr>
            <w:tcW w:type="dxa" w:w="1944"/>
            <w:shd w:val="clear" w:fill="F0F0F8"/>
          </w:tcPr>
          <w:p>
            <w:pPr>
              <w:spacing w:after="20" w:before="20"/>
            </w:pPr>
            <w:r/>
            <w:r>
              <w:rPr>
                <w:rFonts w:ascii="Calibri" w:hAnsi="Calibri"/>
                <w:b w:val="0"/>
                <w:color w:val="333333"/>
                <w:sz w:val="19"/>
              </w:rPr>
              <w:t>Raster × Vector</w:t>
            </w:r>
          </w:p>
        </w:tc>
        <w:tc>
          <w:tcPr>
            <w:tcW w:type="dxa" w:w="2016"/>
            <w:shd w:val="clear" w:fill="F0F0F8"/>
          </w:tcPr>
          <w:p>
            <w:pPr>
              <w:spacing w:after="20" w:before="20"/>
            </w:pPr>
            <w:r/>
            <w:r>
              <w:rPr>
                <w:rFonts w:ascii="Calibri" w:hAnsi="Calibri"/>
                <w:b w:val="0"/>
                <w:color w:val="333333"/>
                <w:sz w:val="19"/>
              </w:rPr>
              <w:t>Server</w:t>
            </w:r>
          </w:p>
        </w:tc>
        <w:tc>
          <w:tcPr>
            <w:tcW w:type="dxa" w:w="2160"/>
            <w:shd w:val="clear" w:fill="F0F0F8"/>
          </w:tcPr>
          <w:p>
            <w:pPr>
              <w:spacing w:after="20" w:before="20"/>
            </w:pPr>
            <w:r/>
            <w:r>
              <w:rPr>
                <w:rFonts w:ascii="Calibri" w:hAnsi="Calibri"/>
                <w:b w:val="0"/>
                <w:color w:val="333333"/>
                <w:sz w:val="19"/>
              </w:rPr>
              <w:t>PostGIS Raster</w:t>
            </w:r>
          </w:p>
        </w:tc>
        <w:tc>
          <w:tcPr>
            <w:tcW w:type="dxa" w:w="1224"/>
            <w:shd w:val="clear" w:fill="F0F0F8"/>
          </w:tcPr>
          <w:p>
            <w:pPr>
              <w:spacing w:after="20" w:before="20"/>
            </w:pPr>
            <w:r/>
            <w:r>
              <w:rPr>
                <w:rFonts w:ascii="Calibri" w:hAnsi="Calibri"/>
                <w:b w:val="0"/>
                <w:color w:val="333333"/>
                <w:sz w:val="19"/>
              </w:rPr>
              <w:t>Stage 1</w:t>
            </w:r>
          </w:p>
        </w:tc>
        <w:tc>
          <w:tcPr>
            <w:tcW w:type="dxa" w:w="1224"/>
            <w:shd w:val="clear" w:fill="F0F0F8"/>
          </w:tcPr>
          <w:p>
            <w:pPr>
              <w:spacing w:after="20" w:before="20"/>
            </w:pPr>
            <w:r/>
            <w:r>
              <w:rPr>
                <w:rFonts w:ascii="Calibri" w:hAnsi="Calibri"/>
                <w:b/>
                <w:color w:val="16A34A"/>
                <w:sz w:val="19"/>
              </w:rPr>
              <w:t>Low</w:t>
            </w:r>
          </w:p>
        </w:tc>
      </w:tr>
      <w:tr>
        <w:trPr>
          <w:cantSplit/>
        </w:trPr>
        <w:tc>
          <w:tcPr>
            <w:tcW w:type="dxa" w:w="2448"/>
            <w:shd w:val="clear" w:fill="FFFFFF"/>
          </w:tcPr>
          <w:p>
            <w:pPr>
              <w:spacing w:after="20" w:before="20"/>
            </w:pPr>
            <w:r/>
            <w:r>
              <w:rPr>
                <w:rFonts w:ascii="Calibri" w:hAnsi="Calibri"/>
                <w:b w:val="0"/>
                <w:color w:val="333333"/>
                <w:sz w:val="19"/>
              </w:rPr>
              <w:t>Interpolation</w:t>
            </w:r>
          </w:p>
        </w:tc>
        <w:tc>
          <w:tcPr>
            <w:tcW w:type="dxa" w:w="1944"/>
            <w:shd w:val="clear" w:fill="FFFFFF"/>
          </w:tcPr>
          <w:p>
            <w:pPr>
              <w:spacing w:after="20" w:before="20"/>
            </w:pPr>
            <w:r/>
            <w:r>
              <w:rPr>
                <w:rFonts w:ascii="Calibri" w:hAnsi="Calibri"/>
                <w:b w:val="0"/>
                <w:color w:val="333333"/>
                <w:sz w:val="19"/>
              </w:rPr>
              <w:t>Points → Raster</w:t>
            </w:r>
          </w:p>
        </w:tc>
        <w:tc>
          <w:tcPr>
            <w:tcW w:type="dxa" w:w="2016"/>
            <w:shd w:val="clear" w:fill="FFFFFF"/>
          </w:tcPr>
          <w:p>
            <w:pPr>
              <w:spacing w:after="20" w:before="20"/>
            </w:pPr>
            <w:r/>
            <w:r>
              <w:rPr>
                <w:rFonts w:ascii="Calibri" w:hAnsi="Calibri"/>
                <w:b w:val="0"/>
                <w:color w:val="333333"/>
                <w:sz w:val="19"/>
              </w:rPr>
              <w:t>Server</w:t>
            </w:r>
          </w:p>
        </w:tc>
        <w:tc>
          <w:tcPr>
            <w:tcW w:type="dxa" w:w="2160"/>
            <w:shd w:val="clear" w:fill="FFFFFF"/>
          </w:tcPr>
          <w:p>
            <w:pPr>
              <w:spacing w:after="20" w:before="20"/>
            </w:pPr>
            <w:r/>
            <w:r>
              <w:rPr>
                <w:rFonts w:ascii="Calibri" w:hAnsi="Calibri"/>
                <w:b w:val="0"/>
                <w:color w:val="333333"/>
                <w:sz w:val="19"/>
              </w:rPr>
              <w:t>GDAL / SAGA</w:t>
            </w:r>
          </w:p>
        </w:tc>
        <w:tc>
          <w:tcPr>
            <w:tcW w:type="dxa" w:w="1224"/>
            <w:shd w:val="clear" w:fill="FFFFFF"/>
          </w:tcPr>
          <w:p>
            <w:pPr>
              <w:spacing w:after="20" w:before="20"/>
            </w:pPr>
            <w:r/>
            <w:r>
              <w:rPr>
                <w:rFonts w:ascii="Calibri" w:hAnsi="Calibri"/>
                <w:b w:val="0"/>
                <w:color w:val="333333"/>
                <w:sz w:val="19"/>
              </w:rPr>
              <w:t>Stage 2</w:t>
            </w:r>
          </w:p>
        </w:tc>
        <w:tc>
          <w:tcPr>
            <w:tcW w:type="dxa" w:w="1224"/>
            <w:shd w:val="clear" w:fill="FFFFFF"/>
          </w:tcPr>
          <w:p>
            <w:pPr>
              <w:spacing w:after="20" w:before="20"/>
            </w:pPr>
            <w:r/>
            <w:r>
              <w:rPr>
                <w:rFonts w:ascii="Calibri" w:hAnsi="Calibri"/>
                <w:b/>
                <w:color w:val="D97706"/>
                <w:sz w:val="19"/>
              </w:rPr>
              <w:t>Medium</w:t>
            </w:r>
          </w:p>
        </w:tc>
      </w:tr>
      <w:tr>
        <w:trPr>
          <w:cantSplit/>
        </w:trPr>
        <w:tc>
          <w:tcPr>
            <w:tcW w:type="dxa" w:w="2448"/>
            <w:shd w:val="clear" w:fill="F0F0F8"/>
          </w:tcPr>
          <w:p>
            <w:pPr>
              <w:spacing w:after="20" w:before="20"/>
            </w:pPr>
            <w:r/>
            <w:r>
              <w:rPr>
                <w:rFonts w:ascii="Calibri" w:hAnsi="Calibri"/>
                <w:b w:val="0"/>
                <w:color w:val="333333"/>
                <w:sz w:val="19"/>
              </w:rPr>
              <w:t>Network Analysis</w:t>
            </w:r>
          </w:p>
        </w:tc>
        <w:tc>
          <w:tcPr>
            <w:tcW w:type="dxa" w:w="1944"/>
            <w:shd w:val="clear" w:fill="F0F0F8"/>
          </w:tcPr>
          <w:p>
            <w:pPr>
              <w:spacing w:after="20" w:before="20"/>
            </w:pPr>
            <w:r/>
            <w:r>
              <w:rPr>
                <w:rFonts w:ascii="Calibri" w:hAnsi="Calibri"/>
                <w:b w:val="0"/>
                <w:color w:val="333333"/>
                <w:sz w:val="19"/>
              </w:rPr>
              <w:t>Vector (roads)</w:t>
            </w:r>
          </w:p>
        </w:tc>
        <w:tc>
          <w:tcPr>
            <w:tcW w:type="dxa" w:w="2016"/>
            <w:shd w:val="clear" w:fill="F0F0F8"/>
          </w:tcPr>
          <w:p>
            <w:pPr>
              <w:spacing w:after="20" w:before="20"/>
            </w:pPr>
            <w:r/>
            <w:r>
              <w:rPr>
                <w:rFonts w:ascii="Calibri" w:hAnsi="Calibri"/>
                <w:b w:val="0"/>
                <w:color w:val="333333"/>
                <w:sz w:val="19"/>
              </w:rPr>
              <w:t>Server</w:t>
            </w:r>
          </w:p>
        </w:tc>
        <w:tc>
          <w:tcPr>
            <w:tcW w:type="dxa" w:w="2160"/>
            <w:shd w:val="clear" w:fill="F0F0F8"/>
          </w:tcPr>
          <w:p>
            <w:pPr>
              <w:spacing w:after="20" w:before="20"/>
            </w:pPr>
            <w:r/>
            <w:r>
              <w:rPr>
                <w:rFonts w:ascii="Calibri" w:hAnsi="Calibri"/>
                <w:b w:val="0"/>
                <w:color w:val="333333"/>
                <w:sz w:val="19"/>
              </w:rPr>
              <w:t>pgRouting</w:t>
            </w:r>
          </w:p>
        </w:tc>
        <w:tc>
          <w:tcPr>
            <w:tcW w:type="dxa" w:w="1224"/>
            <w:shd w:val="clear" w:fill="F0F0F8"/>
          </w:tcPr>
          <w:p>
            <w:pPr>
              <w:spacing w:after="20" w:before="20"/>
            </w:pPr>
            <w:r/>
            <w:r>
              <w:rPr>
                <w:rFonts w:ascii="Calibri" w:hAnsi="Calibri"/>
                <w:b w:val="0"/>
                <w:color w:val="333333"/>
                <w:sz w:val="19"/>
              </w:rPr>
              <w:t>Stage 2</w:t>
            </w:r>
          </w:p>
        </w:tc>
        <w:tc>
          <w:tcPr>
            <w:tcW w:type="dxa" w:w="1224"/>
            <w:shd w:val="clear" w:fill="F0F0F8"/>
          </w:tcPr>
          <w:p>
            <w:pPr>
              <w:spacing w:after="20" w:before="20"/>
            </w:pPr>
            <w:r/>
            <w:r>
              <w:rPr>
                <w:rFonts w:ascii="Calibri" w:hAnsi="Calibri"/>
                <w:b/>
                <w:color w:val="D97706"/>
                <w:sz w:val="19"/>
              </w:rPr>
              <w:t>Medium</w:t>
            </w:r>
          </w:p>
        </w:tc>
      </w:tr>
      <w:tr>
        <w:trPr>
          <w:cantSplit/>
        </w:trPr>
        <w:tc>
          <w:tcPr>
            <w:tcW w:type="dxa" w:w="2448"/>
            <w:shd w:val="clear" w:fill="FFFFFF"/>
          </w:tcPr>
          <w:p>
            <w:pPr>
              <w:spacing w:after="20" w:before="20"/>
            </w:pPr>
            <w:r/>
            <w:r>
              <w:rPr>
                <w:rFonts w:ascii="Calibri" w:hAnsi="Calibri"/>
                <w:b w:val="0"/>
                <w:color w:val="333333"/>
                <w:sz w:val="19"/>
              </w:rPr>
              <w:t>Hydrology / Flood</w:t>
            </w:r>
          </w:p>
        </w:tc>
        <w:tc>
          <w:tcPr>
            <w:tcW w:type="dxa" w:w="1944"/>
            <w:shd w:val="clear" w:fill="FFFFFF"/>
          </w:tcPr>
          <w:p>
            <w:pPr>
              <w:spacing w:after="20" w:before="20"/>
            </w:pPr>
            <w:r/>
            <w:r>
              <w:rPr>
                <w:rFonts w:ascii="Calibri" w:hAnsi="Calibri"/>
                <w:b w:val="0"/>
                <w:color w:val="333333"/>
                <w:sz w:val="19"/>
              </w:rPr>
              <w:t>Raster (DEM)</w:t>
            </w:r>
          </w:p>
        </w:tc>
        <w:tc>
          <w:tcPr>
            <w:tcW w:type="dxa" w:w="2016"/>
            <w:shd w:val="clear" w:fill="FFFFFF"/>
          </w:tcPr>
          <w:p>
            <w:pPr>
              <w:spacing w:after="20" w:before="20"/>
            </w:pPr>
            <w:r/>
            <w:r>
              <w:rPr>
                <w:rFonts w:ascii="Calibri" w:hAnsi="Calibri"/>
                <w:b w:val="0"/>
                <w:color w:val="333333"/>
                <w:sz w:val="19"/>
              </w:rPr>
              <w:t>Server</w:t>
            </w:r>
          </w:p>
        </w:tc>
        <w:tc>
          <w:tcPr>
            <w:tcW w:type="dxa" w:w="2160"/>
            <w:shd w:val="clear" w:fill="FFFFFF"/>
          </w:tcPr>
          <w:p>
            <w:pPr>
              <w:spacing w:after="20" w:before="20"/>
            </w:pPr>
            <w:r/>
            <w:r>
              <w:rPr>
                <w:rFonts w:ascii="Calibri" w:hAnsi="Calibri"/>
                <w:b w:val="0"/>
                <w:color w:val="333333"/>
                <w:sz w:val="19"/>
              </w:rPr>
              <w:t>WhiteboxTools / GRASS</w:t>
            </w:r>
          </w:p>
        </w:tc>
        <w:tc>
          <w:tcPr>
            <w:tcW w:type="dxa" w:w="1224"/>
            <w:shd w:val="clear" w:fill="FFFFFF"/>
          </w:tcPr>
          <w:p>
            <w:pPr>
              <w:spacing w:after="20" w:before="20"/>
            </w:pPr>
            <w:r/>
            <w:r>
              <w:rPr>
                <w:rFonts w:ascii="Calibri" w:hAnsi="Calibri"/>
                <w:b w:val="0"/>
                <w:color w:val="333333"/>
                <w:sz w:val="19"/>
              </w:rPr>
              <w:t>Stage 3</w:t>
            </w:r>
          </w:p>
        </w:tc>
        <w:tc>
          <w:tcPr>
            <w:tcW w:type="dxa" w:w="1224"/>
            <w:shd w:val="clear" w:fill="FFFFFF"/>
          </w:tcPr>
          <w:p>
            <w:pPr>
              <w:spacing w:after="20" w:before="20"/>
            </w:pPr>
            <w:r/>
            <w:r>
              <w:rPr>
                <w:rFonts w:ascii="Calibri" w:hAnsi="Calibri"/>
                <w:b/>
                <w:color w:val="DC2626"/>
                <w:sz w:val="19"/>
              </w:rPr>
              <w:t>High</w:t>
            </w:r>
          </w:p>
        </w:tc>
      </w:tr>
    </w:tbl>
    <w:p>
      <w:pPr>
        <w:spacing w:after="80"/>
      </w:pPr>
    </w:p>
    <w:p>
      <w:pPr>
        <w:pStyle w:val="berschrift2"/>
      </w:pPr>
      <w:r>
        <w:t>7.1 Overlays</w:t>
      </w:r>
    </w:p>
    <w:p>
      <w:pPr>
        <w:spacing w:after="120"/>
      </w:pPr>
      <w:r>
        <w:rPr>
          <w:rFonts w:ascii="Calibri" w:hAnsi="Calibri"/>
          <w:b w:val="0"/>
          <w:i w:val="0"/>
          <w:color w:val="333333"/>
          <w:sz w:val="22"/>
        </w:rPr>
        <w:t>Combine layers to answer “where does A meet B?” — parcels inside a flood zone, plots crossing a road reserve, land-use conflicts. Small vector overlays (clip, intersect, union, difference) run instantly in the browser with Turf.js and work offline; large overlays and raster map-algebra overlays run in PostGIS. This is the lowest-effort, highest-frequency tool and a natural Stage 1 starting point.</w:t>
      </w:r>
    </w:p>
    <w:p>
      <w:pPr>
        <w:pStyle w:val="berschrift2"/>
      </w:pPr>
      <w:r>
        <w:t>7.2 Zonal Statistics</w:t>
      </w:r>
    </w:p>
    <w:p>
      <w:pPr>
        <w:spacing w:after="120"/>
      </w:pPr>
      <w:r>
        <w:rPr>
          <w:rFonts w:ascii="Calibri" w:hAnsi="Calibri"/>
          <w:b w:val="0"/>
          <w:i w:val="0"/>
          <w:color w:val="333333"/>
          <w:sz w:val="22"/>
        </w:rPr>
        <w:t>Summarise a raster within each vector zone — mean/min/max/majority elevation, slope, or index value per parcel or planning zone. Delivered server-side with PostGIS Raster (or rasterstats); results attach as new attributes on the zones and can be styled or exported. Low complexity once raster upload exists. Where the raster lives in Google Earth Engine (e.g. elevation, land cover, NDVI), the summary can equally be computed in GEE (reduceRegions) and returned directly, avoiding a large download.</w:t>
      </w:r>
    </w:p>
    <w:p>
      <w:pPr>
        <w:pStyle w:val="berschrift2"/>
      </w:pPr>
      <w:r>
        <w:t>7.3 Interpolation</w:t>
      </w:r>
    </w:p>
    <w:p>
      <w:pPr>
        <w:spacing w:after="120"/>
      </w:pPr>
      <w:r>
        <w:rPr>
          <w:rFonts w:ascii="Calibri" w:hAnsi="Calibri"/>
          <w:b w:val="0"/>
          <w:i w:val="0"/>
          <w:color w:val="333333"/>
          <w:sz w:val="22"/>
        </w:rPr>
        <w:t>Turn scattered sample points (survey heights, groundwater, land values) into a continuous surface using IDW or kriging. Runs server-side (GDAL, SAGA) and returns a COG the client displays. Medium complexity: the maths is standard, but choosing method and parameters needs some GIS judgement, so sensible defaults and short guidance should ship with it.</w:t>
      </w:r>
    </w:p>
    <w:p>
      <w:pPr>
        <w:spacing w:after="120"/>
      </w:pPr>
      <w:r>
        <w:rPr>
          <w:rFonts w:ascii="Calibri" w:hAnsi="Calibri"/>
          <w:b/>
          <w:i w:val="0"/>
          <w:color w:val="333333"/>
          <w:sz w:val="22"/>
        </w:rPr>
        <w:t>A concrete first use is already available:</w:t>
      </w:r>
      <w:r>
        <w:rPr>
          <w:rFonts w:ascii="Calibri" w:hAnsi="Calibri"/>
          <w:b w:val="0"/>
          <w:i w:val="0"/>
          <w:color w:val="333333"/>
          <w:sz w:val="22"/>
        </w:rPr>
        <w:t xml:space="preserve"> interpolating the in-house elevation contours (spatial.be_contours_hillshade) into a continuous district DEM (TIN or IDW). This produces the DEM that slope, elevation zonal statistics, and screening-level hydrology depend on — sourced entirely in-house and available offline.</w:t>
      </w:r>
    </w:p>
    <w:p>
      <w:pPr>
        <w:pStyle w:val="berschrift2"/>
      </w:pPr>
      <w:r>
        <w:t>7.4 Network Analysis</w:t>
      </w:r>
    </w:p>
    <w:p>
      <w:pPr>
        <w:spacing w:after="120"/>
      </w:pPr>
      <w:r>
        <w:rPr>
          <w:rFonts w:ascii="Calibri" w:hAnsi="Calibri"/>
          <w:b w:val="0"/>
          <w:i w:val="0"/>
          <w:color w:val="333333"/>
          <w:sz w:val="22"/>
        </w:rPr>
        <w:t>Routing and accessibility over the existing OSM road network: shortest path, drive-time service areas, and nearest-facility queries (e.g. accessibility of a proposed development to schools or clinics). pgRouting runs inside the current PostgreSQL server; the main one-off effort is building and maintaining a clean, routable topology from the road data.</w:t>
      </w:r>
    </w:p>
    <w:p>
      <w:pPr>
        <w:pStyle w:val="berschrift2"/>
      </w:pPr>
      <w:r>
        <w:t>7.5 Hydrology and Flood Simulation</w:t>
      </w:r>
    </w:p>
    <w:p>
      <w:pPr>
        <w:spacing w:after="120"/>
      </w:pPr>
      <w:r>
        <w:rPr>
          <w:rFonts w:ascii="Calibri" w:hAnsi="Calibri"/>
          <w:b w:val="0"/>
          <w:i w:val="0"/>
          <w:color w:val="333333"/>
          <w:sz w:val="22"/>
        </w:rPr>
        <w:t xml:space="preserve">The most requested and most demanding family. From a DEM, standard tools derive flow direction, flow accumulation, stream networks, and watersheds, and can model simple inundation (fill-to-level / HAND approaches). </w:t>
      </w:r>
      <w:r>
        <w:rPr>
          <w:rFonts w:ascii="Calibri" w:hAnsi="Calibri"/>
          <w:b/>
          <w:i w:val="0"/>
          <w:color w:val="333333"/>
          <w:sz w:val="22"/>
        </w:rPr>
        <w:t>Full hydrodynamic flood modelling is a specialist discipline</w:t>
      </w:r>
      <w:r>
        <w:rPr>
          <w:rFonts w:ascii="Calibri" w:hAnsi="Calibri"/>
          <w:b w:val="0"/>
          <w:i w:val="0"/>
          <w:color w:val="333333"/>
          <w:sz w:val="22"/>
        </w:rPr>
        <w:t xml:space="preserve"> — it needs quality elevation data, calibration, and hydrology expertise, and heavier compute. The recommendation is to deliver the derived-terrain products and a screening-level flood indication in Stage 3, and treat detailed flood modelling as an external/specialist activity whose outputs LUPMIS2 displays rather than computes.</w:t>
      </w:r>
    </w:p>
    <w:p>
      <w:pPr>
        <w:spacing w:after="120"/>
      </w:pPr>
      <w:r>
        <w:rPr>
          <w:rFonts w:ascii="Calibri" w:hAnsi="Calibri"/>
          <w:b/>
          <w:i w:val="0"/>
          <w:color w:val="333333"/>
          <w:sz w:val="22"/>
        </w:rPr>
        <w:t>Google Earth Engine helps most here.</w:t>
      </w:r>
      <w:r>
        <w:rPr>
          <w:rFonts w:ascii="Calibri" w:hAnsi="Calibri"/>
          <w:b w:val="0"/>
          <w:i w:val="0"/>
          <w:color w:val="333333"/>
          <w:sz w:val="22"/>
        </w:rPr>
        <w:t xml:space="preserve"> It supplies hydrologically-conditioned DEMs (MERIT Hydro), historic surface-water and flood extents (JRC Global Surface Water, Global Flood Database), rainfall (CHIRPS), and radar-derived flood mapping (Sentinel-1) — enough to drive a credible screening-level flood indication without LUSPA hosting large rasters or a hydrology model.</w:t>
      </w:r>
    </w:p>
    <w:p>
      <w:pPr>
        <w:spacing w:after="120"/>
      </w:pPr>
      <w:r>
        <w:rPr>
          <w:rFonts w:ascii="Calibri" w:hAnsi="Calibri"/>
          <w:b w:val="0"/>
          <w:i w:val="0"/>
          <w:color w:val="333333"/>
          <w:sz w:val="22"/>
        </w:rPr>
        <w:t>Because a district DEM can be interpolated from the in-house elevation contours, a first screening-level terrain and drainage analysis can run with no external data at all — Earth Engine then adds rainfall, surface-water history, and radar flood extents on top.</w:t>
      </w:r>
    </w:p>
    <w:p>
      <w:pPr>
        <w:pStyle w:val="berschrift1"/>
      </w:pPr>
      <w:r>
        <w:t>8. Integration into the GIS / Drawing Tools</w:t>
      </w:r>
    </w:p>
    <w:p>
      <w:pPr>
        <w:spacing w:after="120"/>
      </w:pPr>
      <w:r>
        <w:rPr>
          <w:rFonts w:ascii="Calibri" w:hAnsi="Calibri"/>
          <w:b w:val="0"/>
          <w:i w:val="0"/>
          <w:color w:val="333333"/>
          <w:sz w:val="22"/>
        </w:rPr>
        <w:t>The tools appear as an “Analysis” panel alongside the existing drawing toolbar, so they feel part of the same workflow rather than a separate application.</w:t>
      </w:r>
    </w:p>
    <w:p>
      <w:pPr>
        <w:spacing w:after="60"/>
        <w:ind w:left="403" w:hanging="259"/>
      </w:pPr>
      <w:r>
        <w:rPr>
          <w:rFonts w:ascii="Calibri" w:hAnsi="Calibri"/>
          <w:b/>
          <w:color w:val="1E1A4B"/>
          <w:sz w:val="22"/>
        </w:rPr>
        <w:t>•</w:t>
        <w:tab/>
      </w:r>
      <w:r>
        <w:rPr>
          <w:rFonts w:ascii="Calibri" w:hAnsi="Calibri"/>
          <w:b/>
          <w:i w:val="0"/>
          <w:color w:val="333333"/>
          <w:sz w:val="22"/>
        </w:rPr>
        <w:t>Pick inputs</w:t>
      </w:r>
      <w:r>
        <w:rPr>
          <w:rFonts w:ascii="Calibri" w:hAnsi="Calibri"/>
          <w:b w:val="0"/>
          <w:i w:val="0"/>
          <w:color w:val="333333"/>
          <w:sz w:val="22"/>
        </w:rPr>
        <w:t xml:space="preserve"> — choose input layer(s) from those already loaded (drawn features, parcels, zones, uploaded rasters).</w:t>
      </w:r>
    </w:p>
    <w:p>
      <w:pPr>
        <w:spacing w:after="60"/>
        <w:ind w:left="403" w:hanging="259"/>
      </w:pPr>
      <w:r>
        <w:rPr>
          <w:rFonts w:ascii="Calibri" w:hAnsi="Calibri"/>
          <w:b/>
          <w:color w:val="1E1A4B"/>
          <w:sz w:val="22"/>
        </w:rPr>
        <w:t>•</w:t>
        <w:tab/>
      </w:r>
      <w:r>
        <w:rPr>
          <w:rFonts w:ascii="Calibri" w:hAnsi="Calibri"/>
          <w:b/>
          <w:i w:val="0"/>
          <w:color w:val="333333"/>
          <w:sz w:val="22"/>
        </w:rPr>
        <w:t>Set parameters</w:t>
      </w:r>
      <w:r>
        <w:rPr>
          <w:rFonts w:ascii="Calibri" w:hAnsi="Calibri"/>
          <w:b w:val="0"/>
          <w:i w:val="0"/>
          <w:color w:val="333333"/>
          <w:sz w:val="22"/>
        </w:rPr>
        <w:t xml:space="preserve"> — a short form per tool, with sensible defaults and inline help.</w:t>
      </w:r>
    </w:p>
    <w:p>
      <w:pPr>
        <w:spacing w:after="60"/>
        <w:ind w:left="403" w:hanging="259"/>
      </w:pPr>
      <w:r>
        <w:rPr>
          <w:rFonts w:ascii="Calibri" w:hAnsi="Calibri"/>
          <w:b/>
          <w:color w:val="1E1A4B"/>
          <w:sz w:val="22"/>
        </w:rPr>
        <w:t>•</w:t>
        <w:tab/>
      </w:r>
      <w:r>
        <w:rPr>
          <w:rFonts w:ascii="Calibri" w:hAnsi="Calibri"/>
          <w:b/>
          <w:i w:val="0"/>
          <w:color w:val="333333"/>
          <w:sz w:val="22"/>
        </w:rPr>
        <w:t>Run</w:t>
      </w:r>
      <w:r>
        <w:rPr>
          <w:rFonts w:ascii="Calibri" w:hAnsi="Calibri"/>
          <w:b w:val="0"/>
          <w:i w:val="0"/>
          <w:color w:val="333333"/>
          <w:sz w:val="22"/>
        </w:rPr>
        <w:t xml:space="preserve"> — light jobs return immediately; heavy jobs run server-side with a progress indicator, so the map stays usable.</w:t>
      </w:r>
    </w:p>
    <w:p>
      <w:pPr>
        <w:spacing w:after="60"/>
        <w:ind w:left="403" w:hanging="259"/>
      </w:pPr>
      <w:r>
        <w:rPr>
          <w:rFonts w:ascii="Calibri" w:hAnsi="Calibri"/>
          <w:b/>
          <w:color w:val="1E1A4B"/>
          <w:sz w:val="22"/>
        </w:rPr>
        <w:t>•</w:t>
        <w:tab/>
      </w:r>
      <w:r>
        <w:rPr>
          <w:rFonts w:ascii="Calibri" w:hAnsi="Calibri"/>
          <w:b/>
          <w:i w:val="0"/>
          <w:color w:val="333333"/>
          <w:sz w:val="22"/>
        </w:rPr>
        <w:t>Results as layers</w:t>
      </w:r>
      <w:r>
        <w:rPr>
          <w:rFonts w:ascii="Calibri" w:hAnsi="Calibri"/>
          <w:b w:val="0"/>
          <w:i w:val="0"/>
          <w:color w:val="333333"/>
          <w:sz w:val="22"/>
        </w:rPr>
        <w:t xml:space="preserve"> — outputs are added as new map layers, styled, and can be edited, saved, or exported through the existing GIS export (GeoJSON / SHP / KML) and PDF report tools.</w:t>
      </w:r>
    </w:p>
    <w:p>
      <w:pPr>
        <w:spacing w:after="120"/>
      </w:pPr>
      <w:r>
        <w:rPr>
          <w:rFonts w:ascii="Calibri" w:hAnsi="Calibri"/>
          <w:b w:val="0"/>
          <w:i w:val="0"/>
          <w:color w:val="333333"/>
          <w:sz w:val="22"/>
        </w:rPr>
        <w:t>This reuses patterns already in the app — the analysis popups, the layer switcher, the import/export modal, and the staged-upload flow — which keeps both the code and the user experience consistent.</w:t>
      </w:r>
    </w:p>
    <w:p>
      <w:pPr>
        <w:pStyle w:val="berschrift1"/>
      </w:pPr>
      <w:r>
        <w:t>9. Staged Roadmap</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1805"/>
        <w:gridCol w:w="1805"/>
        <w:gridCol w:w="1805"/>
        <w:gridCol w:w="1805"/>
        <w:gridCol w:w="1805"/>
      </w:tblGrid>
      <w:tr>
        <w:trPr>
          <w:tblHeader w:val="true"/>
        </w:trPr>
        <w:tc>
          <w:tcPr>
            <w:tcW w:type="dxa" w:w="1152"/>
            <w:shd w:val="clear" w:fill="1E1A4B"/>
          </w:tcPr>
          <w:p>
            <w:pPr>
              <w:spacing w:after="20" w:before="20"/>
            </w:pPr>
            <w:r/>
            <w:r>
              <w:rPr>
                <w:rFonts w:ascii="Calibri" w:hAnsi="Calibri"/>
                <w:b/>
                <w:color w:val="FFFFFF"/>
                <w:sz w:val="20"/>
              </w:rPr>
              <w:t>Stage</w:t>
            </w:r>
          </w:p>
        </w:tc>
        <w:tc>
          <w:tcPr>
            <w:tcW w:type="dxa" w:w="3600"/>
            <w:shd w:val="clear" w:fill="1E1A4B"/>
          </w:tcPr>
          <w:p>
            <w:pPr>
              <w:spacing w:after="20" w:before="20"/>
            </w:pPr>
            <w:r/>
            <w:r>
              <w:rPr>
                <w:rFonts w:ascii="Calibri" w:hAnsi="Calibri"/>
                <w:b/>
                <w:color w:val="FFFFFF"/>
                <w:sz w:val="20"/>
              </w:rPr>
              <w:t>Scope</w:t>
            </w:r>
          </w:p>
        </w:tc>
        <w:tc>
          <w:tcPr>
            <w:tcW w:type="dxa" w:w="2160"/>
            <w:shd w:val="clear" w:fill="1E1A4B"/>
          </w:tcPr>
          <w:p>
            <w:pPr>
              <w:spacing w:after="20" w:before="20"/>
            </w:pPr>
            <w:r/>
            <w:r>
              <w:rPr>
                <w:rFonts w:ascii="Calibri" w:hAnsi="Calibri"/>
                <w:b/>
                <w:color w:val="FFFFFF"/>
                <w:sz w:val="20"/>
              </w:rPr>
              <w:t>Builds on</w:t>
            </w:r>
          </w:p>
        </w:tc>
        <w:tc>
          <w:tcPr>
            <w:tcW w:type="dxa" w:w="2304"/>
            <w:shd w:val="clear" w:fill="1E1A4B"/>
          </w:tcPr>
          <w:p>
            <w:pPr>
              <w:spacing w:after="20" w:before="20"/>
            </w:pPr>
            <w:r/>
            <w:r>
              <w:rPr>
                <w:rFonts w:ascii="Calibri" w:hAnsi="Calibri"/>
                <w:b/>
                <w:color w:val="FFFFFF"/>
                <w:sz w:val="20"/>
              </w:rPr>
              <w:t>Dependencies</w:t>
            </w:r>
          </w:p>
        </w:tc>
        <w:tc>
          <w:tcPr>
            <w:tcW w:type="dxa" w:w="1296"/>
            <w:shd w:val="clear" w:fill="1E1A4B"/>
          </w:tcPr>
          <w:p>
            <w:pPr>
              <w:spacing w:after="20" w:before="20"/>
            </w:pPr>
            <w:r/>
            <w:r>
              <w:rPr>
                <w:rFonts w:ascii="Calibri" w:hAnsi="Calibri"/>
                <w:b/>
                <w:color w:val="FFFFFF"/>
                <w:sz w:val="20"/>
              </w:rPr>
              <w:t>Maintenance</w:t>
            </w:r>
          </w:p>
        </w:tc>
      </w:tr>
      <w:tr>
        <w:trPr>
          <w:cantSplit/>
        </w:trPr>
        <w:tc>
          <w:tcPr>
            <w:tcW w:type="dxa" w:w="1152"/>
            <w:shd w:val="clear" w:fill="FFFFFF"/>
          </w:tcPr>
          <w:p>
            <w:pPr>
              <w:spacing w:after="20" w:before="20"/>
            </w:pPr>
            <w:r/>
            <w:r>
              <w:rPr>
                <w:rFonts w:ascii="Calibri" w:hAnsi="Calibri"/>
                <w:b/>
                <w:color w:val="16A34A"/>
                <w:sz w:val="19"/>
              </w:rPr>
              <w:t>Stage 1</w:t>
            </w:r>
          </w:p>
        </w:tc>
        <w:tc>
          <w:tcPr>
            <w:tcW w:type="dxa" w:w="3600"/>
            <w:shd w:val="clear" w:fill="FFFFFF"/>
          </w:tcPr>
          <w:p>
            <w:pPr>
              <w:spacing w:after="20" w:before="20"/>
            </w:pPr>
            <w:r/>
            <w:r>
              <w:rPr>
                <w:rFonts w:ascii="Calibri" w:hAnsi="Calibri"/>
                <w:b w:val="0"/>
                <w:color w:val="333333"/>
                <w:sz w:val="19"/>
              </w:rPr>
              <w:t>Vector overlays (client); zonal statistics; raster display (COG + WMS)</w:t>
            </w:r>
          </w:p>
        </w:tc>
        <w:tc>
          <w:tcPr>
            <w:tcW w:type="dxa" w:w="2160"/>
            <w:shd w:val="clear" w:fill="FFFFFF"/>
          </w:tcPr>
          <w:p>
            <w:pPr>
              <w:spacing w:after="20" w:before="20"/>
            </w:pPr>
            <w:r/>
            <w:r>
              <w:rPr>
                <w:rFonts w:ascii="Calibri" w:hAnsi="Calibri"/>
                <w:b w:val="0"/>
                <w:color w:val="333333"/>
                <w:sz w:val="19"/>
              </w:rPr>
              <w:t>PostGIS, OpenLayers, Turf.js</w:t>
            </w:r>
          </w:p>
        </w:tc>
        <w:tc>
          <w:tcPr>
            <w:tcW w:type="dxa" w:w="2304"/>
            <w:shd w:val="clear" w:fill="FFFFFF"/>
          </w:tcPr>
          <w:p>
            <w:pPr>
              <w:spacing w:after="20" w:before="20"/>
            </w:pPr>
            <w:r/>
            <w:r>
              <w:rPr>
                <w:rFonts w:ascii="Calibri" w:hAnsi="Calibri"/>
                <w:b w:val="0"/>
                <w:color w:val="333333"/>
                <w:sz w:val="19"/>
              </w:rPr>
              <w:t>Raster display; small raster upload</w:t>
            </w:r>
          </w:p>
        </w:tc>
        <w:tc>
          <w:tcPr>
            <w:tcW w:type="dxa" w:w="1296"/>
            <w:shd w:val="clear" w:fill="FFFFFF"/>
          </w:tcPr>
          <w:p>
            <w:pPr>
              <w:spacing w:after="20" w:before="20"/>
            </w:pPr>
            <w:r/>
            <w:r>
              <w:rPr>
                <w:rFonts w:ascii="Calibri" w:hAnsi="Calibri"/>
                <w:b w:val="0"/>
                <w:color w:val="333333"/>
                <w:sz w:val="19"/>
              </w:rPr>
              <w:t>Low</w:t>
            </w:r>
          </w:p>
        </w:tc>
      </w:tr>
      <w:tr>
        <w:trPr>
          <w:cantSplit/>
        </w:trPr>
        <w:tc>
          <w:tcPr>
            <w:tcW w:type="dxa" w:w="1152"/>
            <w:shd w:val="clear" w:fill="F0F0F8"/>
          </w:tcPr>
          <w:p>
            <w:pPr>
              <w:spacing w:after="20" w:before="20"/>
            </w:pPr>
            <w:r/>
            <w:r>
              <w:rPr>
                <w:rFonts w:ascii="Calibri" w:hAnsi="Calibri"/>
                <w:b/>
                <w:color w:val="D97706"/>
                <w:sz w:val="19"/>
              </w:rPr>
              <w:t>Stage 2</w:t>
            </w:r>
          </w:p>
        </w:tc>
        <w:tc>
          <w:tcPr>
            <w:tcW w:type="dxa" w:w="3600"/>
            <w:shd w:val="clear" w:fill="F0F0F8"/>
          </w:tcPr>
          <w:p>
            <w:pPr>
              <w:spacing w:after="20" w:before="20"/>
            </w:pPr>
            <w:r/>
            <w:r>
              <w:rPr>
                <w:rFonts w:ascii="Calibri" w:hAnsi="Calibri"/>
                <w:b w:val="0"/>
                <w:color w:val="333333"/>
                <w:sz w:val="19"/>
              </w:rPr>
              <w:t>Interpolation; network analysis; GeoTIFF upload pipeline; Google Earth Engine data ingestion</w:t>
            </w:r>
          </w:p>
        </w:tc>
        <w:tc>
          <w:tcPr>
            <w:tcW w:type="dxa" w:w="2160"/>
            <w:shd w:val="clear" w:fill="F0F0F8"/>
          </w:tcPr>
          <w:p>
            <w:pPr>
              <w:spacing w:after="20" w:before="20"/>
            </w:pPr>
            <w:r/>
            <w:r>
              <w:rPr>
                <w:rFonts w:ascii="Calibri" w:hAnsi="Calibri"/>
                <w:b w:val="0"/>
                <w:color w:val="333333"/>
                <w:sz w:val="19"/>
              </w:rPr>
              <w:t>PostGIS Raster, pgRouting, GDAL, Earth Engine account</w:t>
            </w:r>
          </w:p>
        </w:tc>
        <w:tc>
          <w:tcPr>
            <w:tcW w:type="dxa" w:w="2304"/>
            <w:shd w:val="clear" w:fill="F0F0F8"/>
          </w:tcPr>
          <w:p>
            <w:pPr>
              <w:spacing w:after="20" w:before="20"/>
            </w:pPr>
            <w:r/>
            <w:r>
              <w:rPr>
                <w:rFonts w:ascii="Calibri" w:hAnsi="Calibri"/>
                <w:b w:val="0"/>
                <w:color w:val="333333"/>
                <w:sz w:val="19"/>
              </w:rPr>
              <w:t>Routable road topology; object storage; GEE service account</w:t>
            </w:r>
          </w:p>
        </w:tc>
        <w:tc>
          <w:tcPr>
            <w:tcW w:type="dxa" w:w="1296"/>
            <w:shd w:val="clear" w:fill="F0F0F8"/>
          </w:tcPr>
          <w:p>
            <w:pPr>
              <w:spacing w:after="20" w:before="20"/>
            </w:pPr>
            <w:r/>
            <w:r>
              <w:rPr>
                <w:rFonts w:ascii="Calibri" w:hAnsi="Calibri"/>
                <w:b w:val="0"/>
                <w:color w:val="333333"/>
                <w:sz w:val="19"/>
              </w:rPr>
              <w:t>Medium</w:t>
            </w:r>
          </w:p>
        </w:tc>
      </w:tr>
      <w:tr>
        <w:trPr>
          <w:cantSplit/>
        </w:trPr>
        <w:tc>
          <w:tcPr>
            <w:tcW w:type="dxa" w:w="1152"/>
            <w:shd w:val="clear" w:fill="FFFFFF"/>
          </w:tcPr>
          <w:p>
            <w:pPr>
              <w:spacing w:after="20" w:before="20"/>
            </w:pPr>
            <w:r/>
            <w:r>
              <w:rPr>
                <w:rFonts w:ascii="Calibri" w:hAnsi="Calibri"/>
                <w:b/>
                <w:color w:val="DC2626"/>
                <w:sz w:val="19"/>
              </w:rPr>
              <w:t>Stage 3</w:t>
            </w:r>
          </w:p>
        </w:tc>
        <w:tc>
          <w:tcPr>
            <w:tcW w:type="dxa" w:w="3600"/>
            <w:shd w:val="clear" w:fill="FFFFFF"/>
          </w:tcPr>
          <w:p>
            <w:pPr>
              <w:spacing w:after="20" w:before="20"/>
            </w:pPr>
            <w:r/>
            <w:r>
              <w:rPr>
                <w:rFonts w:ascii="Calibri" w:hAnsi="Calibri"/>
                <w:b w:val="0"/>
                <w:color w:val="333333"/>
                <w:sz w:val="19"/>
              </w:rPr>
              <w:t>Hydrology: flow/watershed products; screening-level flood indication (DEM + GEE surface-water / radar)</w:t>
            </w:r>
          </w:p>
        </w:tc>
        <w:tc>
          <w:tcPr>
            <w:tcW w:type="dxa" w:w="2160"/>
            <w:shd w:val="clear" w:fill="FFFFFF"/>
          </w:tcPr>
          <w:p>
            <w:pPr>
              <w:spacing w:after="20" w:before="20"/>
            </w:pPr>
            <w:r/>
            <w:r>
              <w:rPr>
                <w:rFonts w:ascii="Calibri" w:hAnsi="Calibri"/>
                <w:b w:val="0"/>
                <w:color w:val="333333"/>
                <w:sz w:val="19"/>
              </w:rPr>
              <w:t>WhiteboxTools / GRASS, quality DEM, GEE</w:t>
            </w:r>
          </w:p>
        </w:tc>
        <w:tc>
          <w:tcPr>
            <w:tcW w:type="dxa" w:w="2304"/>
            <w:shd w:val="clear" w:fill="FFFFFF"/>
          </w:tcPr>
          <w:p>
            <w:pPr>
              <w:spacing w:after="20" w:before="20"/>
            </w:pPr>
            <w:r/>
            <w:r>
              <w:rPr>
                <w:rFonts w:ascii="Calibri" w:hAnsi="Calibri"/>
                <w:b w:val="0"/>
                <w:color w:val="333333"/>
                <w:sz w:val="19"/>
              </w:rPr>
              <w:t>DEM quality; specialist skills; compute</w:t>
            </w:r>
          </w:p>
        </w:tc>
        <w:tc>
          <w:tcPr>
            <w:tcW w:type="dxa" w:w="1296"/>
            <w:shd w:val="clear" w:fill="FFFFFF"/>
          </w:tcPr>
          <w:p>
            <w:pPr>
              <w:spacing w:after="20" w:before="20"/>
            </w:pPr>
            <w:r/>
            <w:r>
              <w:rPr>
                <w:rFonts w:ascii="Calibri" w:hAnsi="Calibri"/>
                <w:b w:val="0"/>
                <w:color w:val="333333"/>
                <w:sz w:val="19"/>
              </w:rPr>
              <w:t>High</w:t>
            </w:r>
          </w:p>
        </w:tc>
      </w:tr>
    </w:tbl>
    <w:p>
      <w:pPr>
        <w:spacing w:after="80"/>
      </w:pPr>
    </w:p>
    <w:p>
      <w:pPr>
        <w:spacing w:after="120"/>
      </w:pPr>
      <w:r>
        <w:rPr>
          <w:rFonts w:ascii="Calibri" w:hAnsi="Calibri"/>
          <w:b w:val="0"/>
          <w:i/>
          <w:color w:val="6B7280"/>
          <w:sz w:val="20"/>
        </w:rPr>
        <w:t>Each stage is usable on its own. If effort is constrained, Stages 1–2 already deliver the majority of day-to-day planning value at low-to-medium maintenance cost.</w:t>
      </w:r>
    </w:p>
    <w:p>
      <w:pPr>
        <w:spacing w:after="120"/>
      </w:pPr>
      <w:r>
        <w:rPr>
          <w:rFonts w:ascii="Calibri" w:hAnsi="Calibri"/>
          <w:b w:val="0"/>
          <w:i/>
          <w:color w:val="6B7280"/>
          <w:sz w:val="20"/>
        </w:rPr>
        <w:t>Because elevation contours already exist in PostGIS (from OpenTopography), terrain products — a derived DEM, slope, and elevation zonal statistics — can begin in Stage 1–2 without waiting for raster upload or Earth Engine.</w:t>
      </w:r>
    </w:p>
    <w:p>
      <w:pPr>
        <w:pStyle w:val="berschrift1"/>
      </w:pPr>
      <w:r>
        <w:t>10. Maintenance, Skills and What Is Possible</w:t>
      </w:r>
    </w:p>
    <w:p>
      <w:pPr>
        <w:spacing w:after="120"/>
      </w:pPr>
      <w:r>
        <w:rPr>
          <w:rFonts w:ascii="Calibri" w:hAnsi="Calibri"/>
          <w:b/>
          <w:i w:val="0"/>
          <w:color w:val="16A34A"/>
          <w:sz w:val="22"/>
        </w:rPr>
        <w:t>Sustainable for a small team.</w:t>
      </w:r>
      <w:r>
        <w:rPr>
          <w:rFonts w:ascii="Calibri" w:hAnsi="Calibri"/>
          <w:b w:val="0"/>
          <w:i w:val="0"/>
          <w:color w:val="333333"/>
          <w:sz w:val="22"/>
        </w:rPr>
        <w:t xml:space="preserve"> Stages 1 and 2 rely on well-documented, widely-used components that mostly extend the current stack: PostGIS spatial SQL, pgRouting, GDAL, and Turf.js. These are standard skills, stable, and do not require a dedicated GIS-analysis specialist to keep running.</w:t>
      </w:r>
    </w:p>
    <w:p>
      <w:pPr>
        <w:spacing w:after="120"/>
      </w:pPr>
      <w:r>
        <w:rPr>
          <w:rFonts w:ascii="Calibri" w:hAnsi="Calibri"/>
          <w:b/>
          <w:i w:val="0"/>
          <w:color w:val="DC2626"/>
          <w:sz w:val="22"/>
        </w:rPr>
        <w:t>Possible but demanding.</w:t>
      </w:r>
      <w:r>
        <w:rPr>
          <w:rFonts w:ascii="Calibri" w:hAnsi="Calibri"/>
          <w:b w:val="0"/>
          <w:i w:val="0"/>
          <w:color w:val="333333"/>
          <w:sz w:val="22"/>
        </w:rPr>
        <w:t xml:space="preserve"> Full raster map-algebra pipelines and, especially, hydrodynamic flood modelling are powerful but carry a real burden: specialist hydrology/GIS expertise, careful DEM preparation and calibration, heavier server compute and storage, and ongoing validation. Delivering these to a professional standard is closer to a modelling project than a feature. The pragmatic path is to ship the derived-terrain and screening-level products in-app, and to ingest and display detailed model outputs produced by specialists rather than compute them inside LUPMIS2.</w:t>
      </w:r>
    </w:p>
    <w:p>
      <w:pPr>
        <w:spacing w:after="120"/>
      </w:pPr>
      <w:r>
        <w:rPr>
          <w:rFonts w:ascii="Calibri" w:hAnsi="Calibri"/>
          <w:b/>
          <w:i w:val="0"/>
          <w:color w:val="1E1A4B"/>
          <w:sz w:val="22"/>
        </w:rPr>
        <w:t>Where Google Earth Engine reduces the burden.</w:t>
      </w:r>
      <w:r>
        <w:rPr>
          <w:rFonts w:ascii="Calibri" w:hAnsi="Calibri"/>
          <w:b w:val="0"/>
          <w:i w:val="0"/>
          <w:color w:val="333333"/>
          <w:sz w:val="22"/>
        </w:rPr>
        <w:t xml:space="preserve"> Sourcing DEMs, imagery, land cover, and surface-water data from GEE — and letting GEE perform some of the raster computation — removes much of the data-storage and heavy-compute load that would otherwise sit on the LUSPA server. The trade-off is an operational dependency on Google (account, connectivity, quotas, and licensing terms) rather than fully self-hosted data.</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2256"/>
        <w:gridCol w:w="2256"/>
        <w:gridCol w:w="2256"/>
        <w:gridCol w:w="2256"/>
      </w:tblGrid>
      <w:tr>
        <w:trPr>
          <w:tblHeader w:val="true"/>
        </w:trPr>
        <w:tc>
          <w:tcPr>
            <w:tcW w:type="dxa" w:w="2736"/>
            <w:shd w:val="clear" w:fill="1E1A4B"/>
          </w:tcPr>
          <w:p>
            <w:pPr>
              <w:spacing w:after="20" w:before="20"/>
            </w:pPr>
            <w:r/>
            <w:r>
              <w:rPr>
                <w:rFonts w:ascii="Calibri" w:hAnsi="Calibri"/>
                <w:b/>
                <w:color w:val="FFFFFF"/>
                <w:sz w:val="20"/>
              </w:rPr>
              <w:t>Capability</w:t>
            </w:r>
          </w:p>
        </w:tc>
        <w:tc>
          <w:tcPr>
            <w:tcW w:type="dxa" w:w="2448"/>
            <w:shd w:val="clear" w:fill="1E1A4B"/>
          </w:tcPr>
          <w:p>
            <w:pPr>
              <w:spacing w:after="20" w:before="20"/>
            </w:pPr>
            <w:r/>
            <w:r>
              <w:rPr>
                <w:rFonts w:ascii="Calibri" w:hAnsi="Calibri"/>
                <w:b/>
                <w:color w:val="FFFFFF"/>
                <w:sz w:val="20"/>
              </w:rPr>
              <w:t>Skills needed</w:t>
            </w:r>
          </w:p>
        </w:tc>
        <w:tc>
          <w:tcPr>
            <w:tcW w:type="dxa" w:w="1872"/>
            <w:shd w:val="clear" w:fill="1E1A4B"/>
          </w:tcPr>
          <w:p>
            <w:pPr>
              <w:spacing w:after="20" w:before="20"/>
            </w:pPr>
            <w:r/>
            <w:r>
              <w:rPr>
                <w:rFonts w:ascii="Calibri" w:hAnsi="Calibri"/>
                <w:b/>
                <w:color w:val="FFFFFF"/>
                <w:sz w:val="20"/>
              </w:rPr>
              <w:t>Compute / storage</w:t>
            </w:r>
          </w:p>
        </w:tc>
        <w:tc>
          <w:tcPr>
            <w:tcW w:type="dxa" w:w="2304"/>
            <w:shd w:val="clear" w:fill="1E1A4B"/>
          </w:tcPr>
          <w:p>
            <w:pPr>
              <w:spacing w:after="20" w:before="20"/>
            </w:pPr>
            <w:r/>
            <w:r>
              <w:rPr>
                <w:rFonts w:ascii="Calibri" w:hAnsi="Calibri"/>
                <w:b/>
                <w:color w:val="FFFFFF"/>
                <w:sz w:val="20"/>
              </w:rPr>
              <w:t>Recommendation</w:t>
            </w:r>
          </w:p>
        </w:tc>
      </w:tr>
      <w:tr>
        <w:trPr>
          <w:cantSplit/>
        </w:trPr>
        <w:tc>
          <w:tcPr>
            <w:tcW w:type="dxa" w:w="2736"/>
            <w:shd w:val="clear" w:fill="FFFFFF"/>
          </w:tcPr>
          <w:p>
            <w:pPr>
              <w:spacing w:after="20" w:before="20"/>
            </w:pPr>
            <w:r/>
            <w:r>
              <w:rPr>
                <w:rFonts w:ascii="Calibri" w:hAnsi="Calibri"/>
                <w:b w:val="0"/>
                <w:color w:val="333333"/>
                <w:sz w:val="19"/>
              </w:rPr>
              <w:t>Vector overlays, zonal stats</w:t>
            </w:r>
          </w:p>
        </w:tc>
        <w:tc>
          <w:tcPr>
            <w:tcW w:type="dxa" w:w="2448"/>
            <w:shd w:val="clear" w:fill="FFFFFF"/>
          </w:tcPr>
          <w:p>
            <w:pPr>
              <w:spacing w:after="20" w:before="20"/>
            </w:pPr>
            <w:r/>
            <w:r>
              <w:rPr>
                <w:rFonts w:ascii="Calibri" w:hAnsi="Calibri"/>
                <w:b w:val="0"/>
                <w:color w:val="333333"/>
                <w:sz w:val="19"/>
              </w:rPr>
              <w:t>Standard SQL / web dev</w:t>
            </w:r>
          </w:p>
        </w:tc>
        <w:tc>
          <w:tcPr>
            <w:tcW w:type="dxa" w:w="1872"/>
            <w:shd w:val="clear" w:fill="FFFFFF"/>
          </w:tcPr>
          <w:p>
            <w:pPr>
              <w:spacing w:after="20" w:before="20"/>
            </w:pPr>
            <w:r/>
            <w:r>
              <w:rPr>
                <w:rFonts w:ascii="Calibri" w:hAnsi="Calibri"/>
                <w:b w:val="0"/>
                <w:color w:val="333333"/>
                <w:sz w:val="19"/>
              </w:rPr>
              <w:t>Light</w:t>
            </w:r>
          </w:p>
        </w:tc>
        <w:tc>
          <w:tcPr>
            <w:tcW w:type="dxa" w:w="2304"/>
            <w:shd w:val="clear" w:fill="FFFFFF"/>
          </w:tcPr>
          <w:p>
            <w:pPr>
              <w:spacing w:after="20" w:before="20"/>
            </w:pPr>
            <w:r/>
            <w:r>
              <w:rPr>
                <w:rFonts w:ascii="Calibri" w:hAnsi="Calibri"/>
                <w:b w:val="0"/>
                <w:color w:val="333333"/>
                <w:sz w:val="19"/>
              </w:rPr>
              <w:t>Build now (Stage 1)</w:t>
            </w:r>
          </w:p>
        </w:tc>
      </w:tr>
      <w:tr>
        <w:trPr>
          <w:cantSplit/>
        </w:trPr>
        <w:tc>
          <w:tcPr>
            <w:tcW w:type="dxa" w:w="2736"/>
            <w:shd w:val="clear" w:fill="F0F0F8"/>
          </w:tcPr>
          <w:p>
            <w:pPr>
              <w:spacing w:after="20" w:before="20"/>
            </w:pPr>
            <w:r/>
            <w:r>
              <w:rPr>
                <w:rFonts w:ascii="Calibri" w:hAnsi="Calibri"/>
                <w:b w:val="0"/>
                <w:color w:val="333333"/>
                <w:sz w:val="19"/>
              </w:rPr>
              <w:t>Interpolation, routing</w:t>
            </w:r>
          </w:p>
        </w:tc>
        <w:tc>
          <w:tcPr>
            <w:tcW w:type="dxa" w:w="2448"/>
            <w:shd w:val="clear" w:fill="F0F0F8"/>
          </w:tcPr>
          <w:p>
            <w:pPr>
              <w:spacing w:after="20" w:before="20"/>
            </w:pPr>
            <w:r/>
            <w:r>
              <w:rPr>
                <w:rFonts w:ascii="Calibri" w:hAnsi="Calibri"/>
                <w:b w:val="0"/>
                <w:color w:val="333333"/>
                <w:sz w:val="19"/>
              </w:rPr>
              <w:t>GIS-aware developer</w:t>
            </w:r>
          </w:p>
        </w:tc>
        <w:tc>
          <w:tcPr>
            <w:tcW w:type="dxa" w:w="1872"/>
            <w:shd w:val="clear" w:fill="F0F0F8"/>
          </w:tcPr>
          <w:p>
            <w:pPr>
              <w:spacing w:after="20" w:before="20"/>
            </w:pPr>
            <w:r/>
            <w:r>
              <w:rPr>
                <w:rFonts w:ascii="Calibri" w:hAnsi="Calibri"/>
                <w:b w:val="0"/>
                <w:color w:val="333333"/>
                <w:sz w:val="19"/>
              </w:rPr>
              <w:t>Moderate</w:t>
            </w:r>
          </w:p>
        </w:tc>
        <w:tc>
          <w:tcPr>
            <w:tcW w:type="dxa" w:w="2304"/>
            <w:shd w:val="clear" w:fill="F0F0F8"/>
          </w:tcPr>
          <w:p>
            <w:pPr>
              <w:spacing w:after="20" w:before="20"/>
            </w:pPr>
            <w:r/>
            <w:r>
              <w:rPr>
                <w:rFonts w:ascii="Calibri" w:hAnsi="Calibri"/>
                <w:b w:val="0"/>
                <w:color w:val="333333"/>
                <w:sz w:val="19"/>
              </w:rPr>
              <w:t>Build (Stage 2)</w:t>
            </w:r>
          </w:p>
        </w:tc>
      </w:tr>
      <w:tr>
        <w:trPr>
          <w:cantSplit/>
        </w:trPr>
        <w:tc>
          <w:tcPr>
            <w:tcW w:type="dxa" w:w="2736"/>
            <w:shd w:val="clear" w:fill="FFFFFF"/>
          </w:tcPr>
          <w:p>
            <w:pPr>
              <w:spacing w:after="20" w:before="20"/>
            </w:pPr>
            <w:r/>
            <w:r>
              <w:rPr>
                <w:rFonts w:ascii="Calibri" w:hAnsi="Calibri"/>
                <w:b w:val="0"/>
                <w:color w:val="333333"/>
                <w:sz w:val="19"/>
              </w:rPr>
              <w:t>Terrain hydrology products</w:t>
            </w:r>
          </w:p>
        </w:tc>
        <w:tc>
          <w:tcPr>
            <w:tcW w:type="dxa" w:w="2448"/>
            <w:shd w:val="clear" w:fill="FFFFFF"/>
          </w:tcPr>
          <w:p>
            <w:pPr>
              <w:spacing w:after="20" w:before="20"/>
            </w:pPr>
            <w:r/>
            <w:r>
              <w:rPr>
                <w:rFonts w:ascii="Calibri" w:hAnsi="Calibri"/>
                <w:b w:val="0"/>
                <w:color w:val="333333"/>
                <w:sz w:val="19"/>
              </w:rPr>
              <w:t>GIS + some hydrology</w:t>
            </w:r>
          </w:p>
        </w:tc>
        <w:tc>
          <w:tcPr>
            <w:tcW w:type="dxa" w:w="1872"/>
            <w:shd w:val="clear" w:fill="FFFFFF"/>
          </w:tcPr>
          <w:p>
            <w:pPr>
              <w:spacing w:after="20" w:before="20"/>
            </w:pPr>
            <w:r/>
            <w:r>
              <w:rPr>
                <w:rFonts w:ascii="Calibri" w:hAnsi="Calibri"/>
                <w:b w:val="0"/>
                <w:color w:val="333333"/>
                <w:sz w:val="19"/>
              </w:rPr>
              <w:t>Moderate–heavy</w:t>
            </w:r>
          </w:p>
        </w:tc>
        <w:tc>
          <w:tcPr>
            <w:tcW w:type="dxa" w:w="2304"/>
            <w:shd w:val="clear" w:fill="FFFFFF"/>
          </w:tcPr>
          <w:p>
            <w:pPr>
              <w:spacing w:after="20" w:before="20"/>
            </w:pPr>
            <w:r/>
            <w:r>
              <w:rPr>
                <w:rFonts w:ascii="Calibri" w:hAnsi="Calibri"/>
                <w:b w:val="0"/>
                <w:color w:val="333333"/>
                <w:sz w:val="19"/>
              </w:rPr>
              <w:t>Build screening level (Stage 3)</w:t>
            </w:r>
          </w:p>
        </w:tc>
      </w:tr>
      <w:tr>
        <w:trPr>
          <w:cantSplit/>
        </w:trPr>
        <w:tc>
          <w:tcPr>
            <w:tcW w:type="dxa" w:w="2736"/>
            <w:shd w:val="clear" w:fill="F0F0F8"/>
          </w:tcPr>
          <w:p>
            <w:pPr>
              <w:spacing w:after="20" w:before="20"/>
            </w:pPr>
            <w:r/>
            <w:r>
              <w:rPr>
                <w:rFonts w:ascii="Calibri" w:hAnsi="Calibri"/>
                <w:b w:val="0"/>
                <w:color w:val="333333"/>
                <w:sz w:val="19"/>
              </w:rPr>
              <w:t>Detailed flood modelling</w:t>
            </w:r>
          </w:p>
        </w:tc>
        <w:tc>
          <w:tcPr>
            <w:tcW w:type="dxa" w:w="2448"/>
            <w:shd w:val="clear" w:fill="F0F0F8"/>
          </w:tcPr>
          <w:p>
            <w:pPr>
              <w:spacing w:after="20" w:before="20"/>
            </w:pPr>
            <w:r/>
            <w:r>
              <w:rPr>
                <w:rFonts w:ascii="Calibri" w:hAnsi="Calibri"/>
                <w:b w:val="0"/>
                <w:color w:val="333333"/>
                <w:sz w:val="19"/>
              </w:rPr>
              <w:t>Hydrology specialist</w:t>
            </w:r>
          </w:p>
        </w:tc>
        <w:tc>
          <w:tcPr>
            <w:tcW w:type="dxa" w:w="1872"/>
            <w:shd w:val="clear" w:fill="F0F0F8"/>
          </w:tcPr>
          <w:p>
            <w:pPr>
              <w:spacing w:after="20" w:before="20"/>
            </w:pPr>
            <w:r/>
            <w:r>
              <w:rPr>
                <w:rFonts w:ascii="Calibri" w:hAnsi="Calibri"/>
                <w:b w:val="0"/>
                <w:color w:val="333333"/>
                <w:sz w:val="19"/>
              </w:rPr>
              <w:t>Heavy</w:t>
            </w:r>
          </w:p>
        </w:tc>
        <w:tc>
          <w:tcPr>
            <w:tcW w:type="dxa" w:w="2304"/>
            <w:shd w:val="clear" w:fill="F0F0F8"/>
          </w:tcPr>
          <w:p>
            <w:pPr>
              <w:spacing w:after="20" w:before="20"/>
            </w:pPr>
            <w:r/>
            <w:r>
              <w:rPr>
                <w:rFonts w:ascii="Calibri" w:hAnsi="Calibri"/>
                <w:b w:val="0"/>
                <w:color w:val="333333"/>
                <w:sz w:val="19"/>
              </w:rPr>
              <w:t>Outsource; display results in LUPMIS2</w:t>
            </w:r>
          </w:p>
        </w:tc>
      </w:tr>
    </w:tbl>
    <w:p>
      <w:pPr>
        <w:spacing w:after="80"/>
      </w:pPr>
    </w:p>
    <w:p>
      <w:pPr>
        <w:pStyle w:val="berschrift1"/>
      </w:pPr>
      <w:r>
        <w:t>11. Alignment with the Terms of Reference and Functional Specifications</w:t>
      </w:r>
    </w:p>
    <w:p>
      <w:pPr>
        <w:spacing w:after="120"/>
      </w:pPr>
      <w:r>
        <w:rPr>
          <w:rFonts w:ascii="Calibri" w:hAnsi="Calibri"/>
          <w:b w:val="0"/>
          <w:i w:val="0"/>
          <w:color w:val="333333"/>
          <w:sz w:val="22"/>
        </w:rPr>
        <w:t>This chapter maps the proposed analytical tools to the requirements set out in the Terms of Reference (ToR §2.4.2, Spatial Analysis and Mapping) and the Functional Specifications (FS §2, Mapping &amp; Spatial Analysis; with the closely-related terrain requirements in FS §3). Coverage is rated Full, Partial, Value-add (beyond the stated requirement), or Out of scope for this concept.</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2256"/>
        <w:gridCol w:w="2256"/>
        <w:gridCol w:w="2256"/>
        <w:gridCol w:w="2256"/>
      </w:tblGrid>
      <w:tr>
        <w:trPr>
          <w:tblHeader w:val="true"/>
        </w:trPr>
        <w:tc>
          <w:tcPr>
            <w:tcW w:type="dxa" w:w="3096"/>
            <w:shd w:val="clear" w:fill="1E1A4B"/>
          </w:tcPr>
          <w:p>
            <w:pPr>
              <w:spacing w:after="20" w:before="20"/>
            </w:pPr>
            <w:r/>
            <w:r>
              <w:rPr>
                <w:rFonts w:ascii="Calibri" w:hAnsi="Calibri"/>
                <w:b/>
                <w:color w:val="FFFFFF"/>
                <w:sz w:val="19"/>
              </w:rPr>
              <w:t>Requirement</w:t>
            </w:r>
          </w:p>
        </w:tc>
        <w:tc>
          <w:tcPr>
            <w:tcW w:type="dxa" w:w="1224"/>
            <w:shd w:val="clear" w:fill="1E1A4B"/>
          </w:tcPr>
          <w:p>
            <w:pPr>
              <w:spacing w:after="20" w:before="20"/>
            </w:pPr>
            <w:r/>
            <w:r>
              <w:rPr>
                <w:rFonts w:ascii="Calibri" w:hAnsi="Calibri"/>
                <w:b/>
                <w:color w:val="FFFFFF"/>
                <w:sz w:val="19"/>
              </w:rPr>
              <w:t>Source</w:t>
            </w:r>
          </w:p>
        </w:tc>
        <w:tc>
          <w:tcPr>
            <w:tcW w:type="dxa" w:w="4176"/>
            <w:shd w:val="clear" w:fill="1E1A4B"/>
          </w:tcPr>
          <w:p>
            <w:pPr>
              <w:spacing w:after="20" w:before="20"/>
            </w:pPr>
            <w:r/>
            <w:r>
              <w:rPr>
                <w:rFonts w:ascii="Calibri" w:hAnsi="Calibri"/>
                <w:b/>
                <w:color w:val="FFFFFF"/>
                <w:sz w:val="19"/>
              </w:rPr>
              <w:t>How the concept addresses it</w:t>
            </w:r>
          </w:p>
        </w:tc>
        <w:tc>
          <w:tcPr>
            <w:tcW w:type="dxa" w:w="1440"/>
            <w:shd w:val="clear" w:fill="1E1A4B"/>
          </w:tcPr>
          <w:p>
            <w:pPr>
              <w:spacing w:after="20" w:before="20"/>
            </w:pPr>
            <w:r/>
            <w:r>
              <w:rPr>
                <w:rFonts w:ascii="Calibri" w:hAnsi="Calibri"/>
                <w:b/>
                <w:color w:val="FFFFFF"/>
                <w:sz w:val="19"/>
              </w:rPr>
              <w:t>Coverage</w:t>
            </w:r>
          </w:p>
        </w:tc>
      </w:tr>
      <w:tr>
        <w:trPr>
          <w:cantSplit/>
        </w:trPr>
        <w:tc>
          <w:tcPr>
            <w:tcW w:type="dxa" w:w="3096"/>
            <w:shd w:val="clear" w:fill="FFFFFF"/>
          </w:tcPr>
          <w:p>
            <w:pPr>
              <w:spacing w:after="20" w:before="20"/>
            </w:pPr>
            <w:r/>
            <w:r>
              <w:rPr>
                <w:rFonts w:ascii="Calibri" w:hAnsi="Calibri"/>
                <w:b w:val="0"/>
                <w:color w:val="333333"/>
                <w:sz w:val="18"/>
              </w:rPr>
              <w:t>Interactive map — zoom, pan, query of land use / zoning / plans</w:t>
            </w:r>
          </w:p>
        </w:tc>
        <w:tc>
          <w:tcPr>
            <w:tcW w:type="dxa" w:w="1224"/>
            <w:shd w:val="clear" w:fill="FFFFFF"/>
          </w:tcPr>
          <w:p>
            <w:pPr>
              <w:spacing w:after="20" w:before="20"/>
            </w:pPr>
            <w:r/>
            <w:r>
              <w:rPr>
                <w:rFonts w:ascii="Calibri" w:hAnsi="Calibri"/>
                <w:b w:val="0"/>
                <w:color w:val="333333"/>
                <w:sz w:val="18"/>
              </w:rPr>
              <w:t>ToR 2.4.2a; FS §2</w:t>
            </w:r>
          </w:p>
        </w:tc>
        <w:tc>
          <w:tcPr>
            <w:tcW w:type="dxa" w:w="4176"/>
            <w:shd w:val="clear" w:fill="FFFFFF"/>
          </w:tcPr>
          <w:p>
            <w:pPr>
              <w:spacing w:after="20" w:before="20"/>
            </w:pPr>
            <w:r/>
            <w:r>
              <w:rPr>
                <w:rFonts w:ascii="Calibri" w:hAnsi="Calibri"/>
                <w:b w:val="0"/>
                <w:color w:val="333333"/>
                <w:sz w:val="18"/>
              </w:rPr>
              <w:t>Existing LUPMIS2 map viewer; analysis outputs added as queryable layers</w:t>
            </w:r>
          </w:p>
        </w:tc>
        <w:tc>
          <w:tcPr>
            <w:tcW w:type="dxa" w:w="1440"/>
            <w:shd w:val="clear" w:fill="FFFFFF"/>
          </w:tcPr>
          <w:p>
            <w:pPr>
              <w:spacing w:after="20" w:before="20"/>
            </w:pPr>
            <w:r/>
            <w:r>
              <w:rPr>
                <w:rFonts w:ascii="Calibri" w:hAnsi="Calibri"/>
                <w:b/>
                <w:color w:val="16A34A"/>
                <w:sz w:val="18"/>
              </w:rPr>
              <w:t>Full</w:t>
            </w:r>
          </w:p>
        </w:tc>
      </w:tr>
      <w:tr>
        <w:trPr>
          <w:cantSplit/>
        </w:trPr>
        <w:tc>
          <w:tcPr>
            <w:tcW w:type="dxa" w:w="3096"/>
            <w:shd w:val="clear" w:fill="F0F0F8"/>
          </w:tcPr>
          <w:p>
            <w:pPr>
              <w:spacing w:after="20" w:before="20"/>
            </w:pPr>
            <w:r/>
            <w:r>
              <w:rPr>
                <w:rFonts w:ascii="Calibri" w:hAnsi="Calibri"/>
                <w:b w:val="0"/>
                <w:color w:val="333333"/>
                <w:sz w:val="18"/>
              </w:rPr>
              <w:t>Advanced spatial analysis — patterns, relationships, trends</w:t>
            </w:r>
          </w:p>
        </w:tc>
        <w:tc>
          <w:tcPr>
            <w:tcW w:type="dxa" w:w="1224"/>
            <w:shd w:val="clear" w:fill="F0F0F8"/>
          </w:tcPr>
          <w:p>
            <w:pPr>
              <w:spacing w:after="20" w:before="20"/>
            </w:pPr>
            <w:r/>
            <w:r>
              <w:rPr>
                <w:rFonts w:ascii="Calibri" w:hAnsi="Calibri"/>
                <w:b w:val="0"/>
                <w:color w:val="333333"/>
                <w:sz w:val="18"/>
              </w:rPr>
              <w:t>ToR 2.4.2b</w:t>
            </w:r>
          </w:p>
        </w:tc>
        <w:tc>
          <w:tcPr>
            <w:tcW w:type="dxa" w:w="4176"/>
            <w:shd w:val="clear" w:fill="F0F0F8"/>
          </w:tcPr>
          <w:p>
            <w:pPr>
              <w:spacing w:after="20" w:before="20"/>
            </w:pPr>
            <w:r/>
            <w:r>
              <w:rPr>
                <w:rFonts w:ascii="Calibri" w:hAnsi="Calibri"/>
                <w:b w:val="0"/>
                <w:color w:val="333333"/>
                <w:sz w:val="18"/>
              </w:rPr>
              <w:t>Overlays, Zonal Statistics, Network Analysis, Interpolation (§7)</w:t>
            </w:r>
          </w:p>
        </w:tc>
        <w:tc>
          <w:tcPr>
            <w:tcW w:type="dxa" w:w="1440"/>
            <w:shd w:val="clear" w:fill="F0F0F8"/>
          </w:tcPr>
          <w:p>
            <w:pPr>
              <w:spacing w:after="20" w:before="20"/>
            </w:pPr>
            <w:r/>
            <w:r>
              <w:rPr>
                <w:rFonts w:ascii="Calibri" w:hAnsi="Calibri"/>
                <w:b/>
                <w:color w:val="16A34A"/>
                <w:sz w:val="18"/>
              </w:rPr>
              <w:t>Full</w:t>
            </w:r>
          </w:p>
        </w:tc>
      </w:tr>
      <w:tr>
        <w:trPr>
          <w:cantSplit/>
        </w:trPr>
        <w:tc>
          <w:tcPr>
            <w:tcW w:type="dxa" w:w="3096"/>
            <w:shd w:val="clear" w:fill="FFFFFF"/>
          </w:tcPr>
          <w:p>
            <w:pPr>
              <w:spacing w:after="20" w:before="20"/>
            </w:pPr>
            <w:r/>
            <w:r>
              <w:rPr>
                <w:rFonts w:ascii="Calibri" w:hAnsi="Calibri"/>
                <w:b w:val="0"/>
                <w:color w:val="333333"/>
                <w:sz w:val="18"/>
              </w:rPr>
              <w:t>Heatmaps / density maps / visualisations</w:t>
            </w:r>
          </w:p>
        </w:tc>
        <w:tc>
          <w:tcPr>
            <w:tcW w:type="dxa" w:w="1224"/>
            <w:shd w:val="clear" w:fill="FFFFFF"/>
          </w:tcPr>
          <w:p>
            <w:pPr>
              <w:spacing w:after="20" w:before="20"/>
            </w:pPr>
            <w:r/>
            <w:r>
              <w:rPr>
                <w:rFonts w:ascii="Calibri" w:hAnsi="Calibri"/>
                <w:b w:val="0"/>
                <w:color w:val="333333"/>
                <w:sz w:val="18"/>
              </w:rPr>
              <w:t>ToR 2.4.2b</w:t>
            </w:r>
          </w:p>
        </w:tc>
        <w:tc>
          <w:tcPr>
            <w:tcW w:type="dxa" w:w="4176"/>
            <w:shd w:val="clear" w:fill="FFFFFF"/>
          </w:tcPr>
          <w:p>
            <w:pPr>
              <w:spacing w:after="20" w:before="20"/>
            </w:pPr>
            <w:r/>
            <w:r>
              <w:rPr>
                <w:rFonts w:ascii="Calibri" w:hAnsi="Calibri"/>
                <w:b w:val="0"/>
                <w:color w:val="333333"/>
                <w:sz w:val="18"/>
              </w:rPr>
              <w:t>Interpolation (IDW / kernel-density surfaces) styled as thematic layers</w:t>
            </w:r>
          </w:p>
        </w:tc>
        <w:tc>
          <w:tcPr>
            <w:tcW w:type="dxa" w:w="1440"/>
            <w:shd w:val="clear" w:fill="FFFFFF"/>
          </w:tcPr>
          <w:p>
            <w:pPr>
              <w:spacing w:after="20" w:before="20"/>
            </w:pPr>
            <w:r/>
            <w:r>
              <w:rPr>
                <w:rFonts w:ascii="Calibri" w:hAnsi="Calibri"/>
                <w:b/>
                <w:color w:val="16A34A"/>
                <w:sz w:val="18"/>
              </w:rPr>
              <w:t>Full</w:t>
            </w:r>
          </w:p>
        </w:tc>
      </w:tr>
      <w:tr>
        <w:trPr>
          <w:cantSplit/>
        </w:trPr>
        <w:tc>
          <w:tcPr>
            <w:tcW w:type="dxa" w:w="3096"/>
            <w:shd w:val="clear" w:fill="F0F0F8"/>
          </w:tcPr>
          <w:p>
            <w:pPr>
              <w:spacing w:after="20" w:before="20"/>
            </w:pPr>
            <w:r/>
            <w:r>
              <w:rPr>
                <w:rFonts w:ascii="Calibri" w:hAnsi="Calibri"/>
                <w:b w:val="0"/>
                <w:color w:val="333333"/>
                <w:sz w:val="18"/>
              </w:rPr>
              <w:t>Spatial queries — buffering, overlay, proximity</w:t>
            </w:r>
          </w:p>
        </w:tc>
        <w:tc>
          <w:tcPr>
            <w:tcW w:type="dxa" w:w="1224"/>
            <w:shd w:val="clear" w:fill="F0F0F8"/>
          </w:tcPr>
          <w:p>
            <w:pPr>
              <w:spacing w:after="20" w:before="20"/>
            </w:pPr>
            <w:r/>
            <w:r>
              <w:rPr>
                <w:rFonts w:ascii="Calibri" w:hAnsi="Calibri"/>
                <w:b w:val="0"/>
                <w:color w:val="333333"/>
                <w:sz w:val="18"/>
              </w:rPr>
              <w:t>FS §2</w:t>
            </w:r>
          </w:p>
        </w:tc>
        <w:tc>
          <w:tcPr>
            <w:tcW w:type="dxa" w:w="4176"/>
            <w:shd w:val="clear" w:fill="F0F0F8"/>
          </w:tcPr>
          <w:p>
            <w:pPr>
              <w:spacing w:after="20" w:before="20"/>
            </w:pPr>
            <w:r/>
            <w:r>
              <w:rPr>
                <w:rFonts w:ascii="Calibri" w:hAnsi="Calibri"/>
                <w:b w:val="0"/>
                <w:color w:val="333333"/>
                <w:sz w:val="18"/>
              </w:rPr>
              <w:t>Buffering (existing) + Overlays + Network Analysis (proximity / accessibility)</w:t>
            </w:r>
          </w:p>
        </w:tc>
        <w:tc>
          <w:tcPr>
            <w:tcW w:type="dxa" w:w="1440"/>
            <w:shd w:val="clear" w:fill="F0F0F8"/>
          </w:tcPr>
          <w:p>
            <w:pPr>
              <w:spacing w:after="20" w:before="20"/>
            </w:pPr>
            <w:r/>
            <w:r>
              <w:rPr>
                <w:rFonts w:ascii="Calibri" w:hAnsi="Calibri"/>
                <w:b/>
                <w:color w:val="16A34A"/>
                <w:sz w:val="18"/>
              </w:rPr>
              <w:t>Full</w:t>
            </w:r>
          </w:p>
        </w:tc>
      </w:tr>
      <w:tr>
        <w:trPr>
          <w:cantSplit/>
        </w:trPr>
        <w:tc>
          <w:tcPr>
            <w:tcW w:type="dxa" w:w="3096"/>
            <w:shd w:val="clear" w:fill="FFFFFF"/>
          </w:tcPr>
          <w:p>
            <w:pPr>
              <w:spacing w:after="20" w:before="20"/>
            </w:pPr>
            <w:r/>
            <w:r>
              <w:rPr>
                <w:rFonts w:ascii="Calibri" w:hAnsi="Calibri"/>
                <w:b w:val="0"/>
                <w:color w:val="333333"/>
                <w:sz w:val="18"/>
              </w:rPr>
              <w:t>Simple &amp; complex analysis; summaries, aggregation, statistics (mean, median, mode, variance, SD)</w:t>
            </w:r>
          </w:p>
        </w:tc>
        <w:tc>
          <w:tcPr>
            <w:tcW w:type="dxa" w:w="1224"/>
            <w:shd w:val="clear" w:fill="FFFFFF"/>
          </w:tcPr>
          <w:p>
            <w:pPr>
              <w:spacing w:after="20" w:before="20"/>
            </w:pPr>
            <w:r/>
            <w:r>
              <w:rPr>
                <w:rFonts w:ascii="Calibri" w:hAnsi="Calibri"/>
                <w:b w:val="0"/>
                <w:color w:val="333333"/>
                <w:sz w:val="18"/>
              </w:rPr>
              <w:t>FS §2</w:t>
            </w:r>
          </w:p>
        </w:tc>
        <w:tc>
          <w:tcPr>
            <w:tcW w:type="dxa" w:w="4176"/>
            <w:shd w:val="clear" w:fill="FFFFFF"/>
          </w:tcPr>
          <w:p>
            <w:pPr>
              <w:spacing w:after="20" w:before="20"/>
            </w:pPr>
            <w:r/>
            <w:r>
              <w:rPr>
                <w:rFonts w:ascii="Calibri" w:hAnsi="Calibri"/>
                <w:b w:val="0"/>
                <w:color w:val="333333"/>
                <w:sz w:val="18"/>
              </w:rPr>
              <w:t>Zonal Statistics + attribute summaries per parcel / zone</w:t>
            </w:r>
          </w:p>
        </w:tc>
        <w:tc>
          <w:tcPr>
            <w:tcW w:type="dxa" w:w="1440"/>
            <w:shd w:val="clear" w:fill="FFFFFF"/>
          </w:tcPr>
          <w:p>
            <w:pPr>
              <w:spacing w:after="20" w:before="20"/>
            </w:pPr>
            <w:r/>
            <w:r>
              <w:rPr>
                <w:rFonts w:ascii="Calibri" w:hAnsi="Calibri"/>
                <w:b/>
                <w:color w:val="16A34A"/>
                <w:sz w:val="18"/>
              </w:rPr>
              <w:t>Full</w:t>
            </w:r>
          </w:p>
        </w:tc>
      </w:tr>
      <w:tr>
        <w:trPr>
          <w:cantSplit/>
        </w:trPr>
        <w:tc>
          <w:tcPr>
            <w:tcW w:type="dxa" w:w="3096"/>
            <w:shd w:val="clear" w:fill="F0F0F8"/>
          </w:tcPr>
          <w:p>
            <w:pPr>
              <w:spacing w:after="20" w:before="20"/>
            </w:pPr>
            <w:r/>
            <w:r>
              <w:rPr>
                <w:rFonts w:ascii="Calibri" w:hAnsi="Calibri"/>
                <w:b w:val="0"/>
                <w:color w:val="333333"/>
                <w:sz w:val="18"/>
              </w:rPr>
              <w:t>Layer management (vector &amp; raster)</w:t>
            </w:r>
          </w:p>
        </w:tc>
        <w:tc>
          <w:tcPr>
            <w:tcW w:type="dxa" w:w="1224"/>
            <w:shd w:val="clear" w:fill="F0F0F8"/>
          </w:tcPr>
          <w:p>
            <w:pPr>
              <w:spacing w:after="20" w:before="20"/>
            </w:pPr>
            <w:r/>
            <w:r>
              <w:rPr>
                <w:rFonts w:ascii="Calibri" w:hAnsi="Calibri"/>
                <w:b w:val="0"/>
                <w:color w:val="333333"/>
                <w:sz w:val="18"/>
              </w:rPr>
              <w:t>FS §2</w:t>
            </w:r>
          </w:p>
        </w:tc>
        <w:tc>
          <w:tcPr>
            <w:tcW w:type="dxa" w:w="4176"/>
            <w:shd w:val="clear" w:fill="F0F0F8"/>
          </w:tcPr>
          <w:p>
            <w:pPr>
              <w:spacing w:after="20" w:before="20"/>
            </w:pPr>
            <w:r/>
            <w:r>
              <w:rPr>
                <w:rFonts w:ascii="Calibri" w:hAnsi="Calibri"/>
                <w:b w:val="0"/>
                <w:color w:val="333333"/>
                <w:sz w:val="18"/>
              </w:rPr>
              <w:t>Existing layer switcher + new raster display (COG / WMS)</w:t>
            </w:r>
          </w:p>
        </w:tc>
        <w:tc>
          <w:tcPr>
            <w:tcW w:type="dxa" w:w="1440"/>
            <w:shd w:val="clear" w:fill="F0F0F8"/>
          </w:tcPr>
          <w:p>
            <w:pPr>
              <w:spacing w:after="20" w:before="20"/>
            </w:pPr>
            <w:r/>
            <w:r>
              <w:rPr>
                <w:rFonts w:ascii="Calibri" w:hAnsi="Calibri"/>
                <w:b/>
                <w:color w:val="16A34A"/>
                <w:sz w:val="18"/>
              </w:rPr>
              <w:t>Full</w:t>
            </w:r>
          </w:p>
        </w:tc>
      </w:tr>
      <w:tr>
        <w:trPr>
          <w:cantSplit/>
        </w:trPr>
        <w:tc>
          <w:tcPr>
            <w:tcW w:type="dxa" w:w="3096"/>
            <w:shd w:val="clear" w:fill="FFFFFF"/>
          </w:tcPr>
          <w:p>
            <w:pPr>
              <w:spacing w:after="20" w:before="20"/>
            </w:pPr>
            <w:r/>
            <w:r>
              <w:rPr>
                <w:rFonts w:ascii="Calibri" w:hAnsi="Calibri"/>
                <w:b w:val="0"/>
                <w:color w:val="333333"/>
                <w:sz w:val="18"/>
              </w:rPr>
              <w:t>Thematic mapping — custom symbology</w:t>
            </w:r>
          </w:p>
        </w:tc>
        <w:tc>
          <w:tcPr>
            <w:tcW w:type="dxa" w:w="1224"/>
            <w:shd w:val="clear" w:fill="FFFFFF"/>
          </w:tcPr>
          <w:p>
            <w:pPr>
              <w:spacing w:after="20" w:before="20"/>
            </w:pPr>
            <w:r/>
            <w:r>
              <w:rPr>
                <w:rFonts w:ascii="Calibri" w:hAnsi="Calibri"/>
                <w:b w:val="0"/>
                <w:color w:val="333333"/>
                <w:sz w:val="18"/>
              </w:rPr>
              <w:t>FS §2</w:t>
            </w:r>
          </w:p>
        </w:tc>
        <w:tc>
          <w:tcPr>
            <w:tcW w:type="dxa" w:w="4176"/>
            <w:shd w:val="clear" w:fill="FFFFFF"/>
          </w:tcPr>
          <w:p>
            <w:pPr>
              <w:spacing w:after="20" w:before="20"/>
            </w:pPr>
            <w:r/>
            <w:r>
              <w:rPr>
                <w:rFonts w:ascii="Calibri" w:hAnsi="Calibri"/>
                <w:b w:val="0"/>
                <w:color w:val="333333"/>
                <w:sz w:val="18"/>
              </w:rPr>
              <w:t>Styling of analysis outputs; basic today, richer styling planned</w:t>
            </w:r>
          </w:p>
        </w:tc>
        <w:tc>
          <w:tcPr>
            <w:tcW w:type="dxa" w:w="1440"/>
            <w:shd w:val="clear" w:fill="FFFFFF"/>
          </w:tcPr>
          <w:p>
            <w:pPr>
              <w:spacing w:after="20" w:before="20"/>
            </w:pPr>
            <w:r/>
            <w:r>
              <w:rPr>
                <w:rFonts w:ascii="Calibri" w:hAnsi="Calibri"/>
                <w:b/>
                <w:color w:val="D97706"/>
                <w:sz w:val="18"/>
              </w:rPr>
              <w:t>Partial</w:t>
            </w:r>
          </w:p>
        </w:tc>
      </w:tr>
      <w:tr>
        <w:trPr>
          <w:cantSplit/>
        </w:trPr>
        <w:tc>
          <w:tcPr>
            <w:tcW w:type="dxa" w:w="3096"/>
            <w:shd w:val="clear" w:fill="F0F0F8"/>
          </w:tcPr>
          <w:p>
            <w:pPr>
              <w:spacing w:after="20" w:before="20"/>
            </w:pPr>
            <w:r/>
            <w:r>
              <w:rPr>
                <w:rFonts w:ascii="Calibri" w:hAnsi="Calibri"/>
                <w:b w:val="0"/>
                <w:color w:val="333333"/>
                <w:sz w:val="18"/>
              </w:rPr>
              <w:t>Connect to global geoportals — Google Earth Engine, ERA5, WorldPop (land cover, rainfall, population, environmental)</w:t>
            </w:r>
          </w:p>
        </w:tc>
        <w:tc>
          <w:tcPr>
            <w:tcW w:type="dxa" w:w="1224"/>
            <w:shd w:val="clear" w:fill="F0F0F8"/>
          </w:tcPr>
          <w:p>
            <w:pPr>
              <w:spacing w:after="20" w:before="20"/>
            </w:pPr>
            <w:r/>
            <w:r>
              <w:rPr>
                <w:rFonts w:ascii="Calibri" w:hAnsi="Calibri"/>
                <w:b w:val="0"/>
                <w:color w:val="333333"/>
                <w:sz w:val="18"/>
              </w:rPr>
              <w:t>FS §2</w:t>
            </w:r>
          </w:p>
        </w:tc>
        <w:tc>
          <w:tcPr>
            <w:tcW w:type="dxa" w:w="4176"/>
            <w:shd w:val="clear" w:fill="F0F0F8"/>
          </w:tcPr>
          <w:p>
            <w:pPr>
              <w:spacing w:after="20" w:before="20"/>
            </w:pPr>
            <w:r/>
            <w:r>
              <w:rPr>
                <w:rFonts w:ascii="Calibri" w:hAnsi="Calibri"/>
                <w:b w:val="0"/>
                <w:color w:val="333333"/>
                <w:sz w:val="18"/>
              </w:rPr>
              <w:t>Google Earth Engine integration (§6.2): ERA5, CHIRPS, WorldPop, land cover, imagery</w:t>
            </w:r>
          </w:p>
        </w:tc>
        <w:tc>
          <w:tcPr>
            <w:tcW w:type="dxa" w:w="1440"/>
            <w:shd w:val="clear" w:fill="F0F0F8"/>
          </w:tcPr>
          <w:p>
            <w:pPr>
              <w:spacing w:after="20" w:before="20"/>
            </w:pPr>
            <w:r/>
            <w:r>
              <w:rPr>
                <w:rFonts w:ascii="Calibri" w:hAnsi="Calibri"/>
                <w:b/>
                <w:color w:val="16A34A"/>
                <w:sz w:val="18"/>
              </w:rPr>
              <w:t>Full</w:t>
            </w:r>
          </w:p>
        </w:tc>
      </w:tr>
      <w:tr>
        <w:trPr>
          <w:cantSplit/>
        </w:trPr>
        <w:tc>
          <w:tcPr>
            <w:tcW w:type="dxa" w:w="3096"/>
            <w:shd w:val="clear" w:fill="FFFFFF"/>
          </w:tcPr>
          <w:p>
            <w:pPr>
              <w:spacing w:after="20" w:before="20"/>
            </w:pPr>
            <w:r/>
            <w:r>
              <w:rPr>
                <w:rFonts w:ascii="Calibri" w:hAnsi="Calibri"/>
                <w:b w:val="0"/>
                <w:color w:val="333333"/>
                <w:sz w:val="18"/>
              </w:rPr>
              <w:t>Terrain &amp; elevation analysis — slope, aspect, hillshade</w:t>
            </w:r>
          </w:p>
        </w:tc>
        <w:tc>
          <w:tcPr>
            <w:tcW w:type="dxa" w:w="1224"/>
            <w:shd w:val="clear" w:fill="FFFFFF"/>
          </w:tcPr>
          <w:p>
            <w:pPr>
              <w:spacing w:after="20" w:before="20"/>
            </w:pPr>
            <w:r/>
            <w:r>
              <w:rPr>
                <w:rFonts w:ascii="Calibri" w:hAnsi="Calibri"/>
                <w:b w:val="0"/>
                <w:color w:val="333333"/>
                <w:sz w:val="18"/>
              </w:rPr>
              <w:t>FS §3</w:t>
            </w:r>
          </w:p>
        </w:tc>
        <w:tc>
          <w:tcPr>
            <w:tcW w:type="dxa" w:w="4176"/>
            <w:shd w:val="clear" w:fill="FFFFFF"/>
          </w:tcPr>
          <w:p>
            <w:pPr>
              <w:spacing w:after="20" w:before="20"/>
            </w:pPr>
            <w:r/>
            <w:r>
              <w:rPr>
                <w:rFonts w:ascii="Calibri" w:hAnsi="Calibri"/>
                <w:b w:val="0"/>
                <w:color w:val="333333"/>
                <w:sz w:val="18"/>
              </w:rPr>
              <w:t>In-house OpenTopography contours → DEM; slope / aspect / hillshade + Hydrology (§7.5)</w:t>
            </w:r>
          </w:p>
        </w:tc>
        <w:tc>
          <w:tcPr>
            <w:tcW w:type="dxa" w:w="1440"/>
            <w:shd w:val="clear" w:fill="FFFFFF"/>
          </w:tcPr>
          <w:p>
            <w:pPr>
              <w:spacing w:after="20" w:before="20"/>
            </w:pPr>
            <w:r/>
            <w:r>
              <w:rPr>
                <w:rFonts w:ascii="Calibri" w:hAnsi="Calibri"/>
                <w:b/>
                <w:color w:val="16A34A"/>
                <w:sz w:val="18"/>
              </w:rPr>
              <w:t>Full</w:t>
            </w:r>
          </w:p>
        </w:tc>
      </w:tr>
      <w:tr>
        <w:trPr>
          <w:cantSplit/>
        </w:trPr>
        <w:tc>
          <w:tcPr>
            <w:tcW w:type="dxa" w:w="3096"/>
            <w:shd w:val="clear" w:fill="F0F0F8"/>
          </w:tcPr>
          <w:p>
            <w:pPr>
              <w:spacing w:after="20" w:before="20"/>
            </w:pPr>
            <w:r/>
            <w:r>
              <w:rPr>
                <w:rFonts w:ascii="Calibri" w:hAnsi="Calibri"/>
                <w:b w:val="0"/>
                <w:color w:val="333333"/>
                <w:sz w:val="18"/>
              </w:rPr>
              <w:t>Raster import/export &amp; processing — GeoTIFF; resampling, reclassification, mosaic</w:t>
            </w:r>
          </w:p>
        </w:tc>
        <w:tc>
          <w:tcPr>
            <w:tcW w:type="dxa" w:w="1224"/>
            <w:shd w:val="clear" w:fill="F0F0F8"/>
          </w:tcPr>
          <w:p>
            <w:pPr>
              <w:spacing w:after="20" w:before="20"/>
            </w:pPr>
            <w:r/>
            <w:r>
              <w:rPr>
                <w:rFonts w:ascii="Calibri" w:hAnsi="Calibri"/>
                <w:b w:val="0"/>
                <w:color w:val="333333"/>
                <w:sz w:val="18"/>
              </w:rPr>
              <w:t>FS §3</w:t>
            </w:r>
          </w:p>
        </w:tc>
        <w:tc>
          <w:tcPr>
            <w:tcW w:type="dxa" w:w="4176"/>
            <w:shd w:val="clear" w:fill="F0F0F8"/>
          </w:tcPr>
          <w:p>
            <w:pPr>
              <w:spacing w:after="20" w:before="20"/>
            </w:pPr>
            <w:r/>
            <w:r>
              <w:rPr>
                <w:rFonts w:ascii="Calibri" w:hAnsi="Calibri"/>
                <w:b w:val="0"/>
                <w:color w:val="333333"/>
                <w:sz w:val="18"/>
              </w:rPr>
              <w:t>Raster upload → COG; server-side raster ops / map algebra (some processing later)</w:t>
            </w:r>
          </w:p>
        </w:tc>
        <w:tc>
          <w:tcPr>
            <w:tcW w:type="dxa" w:w="1440"/>
            <w:shd w:val="clear" w:fill="F0F0F8"/>
          </w:tcPr>
          <w:p>
            <w:pPr>
              <w:spacing w:after="20" w:before="20"/>
            </w:pPr>
            <w:r/>
            <w:r>
              <w:rPr>
                <w:rFonts w:ascii="Calibri" w:hAnsi="Calibri"/>
                <w:b/>
                <w:color w:val="D97706"/>
                <w:sz w:val="18"/>
              </w:rPr>
              <w:t>Partial</w:t>
            </w:r>
          </w:p>
        </w:tc>
      </w:tr>
      <w:tr>
        <w:trPr>
          <w:cantSplit/>
        </w:trPr>
        <w:tc>
          <w:tcPr>
            <w:tcW w:type="dxa" w:w="3096"/>
            <w:shd w:val="clear" w:fill="FFFFFF"/>
          </w:tcPr>
          <w:p>
            <w:pPr>
              <w:spacing w:after="20" w:before="20"/>
            </w:pPr>
            <w:r/>
            <w:r>
              <w:rPr>
                <w:rFonts w:ascii="Calibri" w:hAnsi="Calibri"/>
                <w:b w:val="0"/>
                <w:color w:val="333333"/>
                <w:sz w:val="18"/>
              </w:rPr>
              <w:t>Hydrology / flood screening</w:t>
            </w:r>
          </w:p>
        </w:tc>
        <w:tc>
          <w:tcPr>
            <w:tcW w:type="dxa" w:w="1224"/>
            <w:shd w:val="clear" w:fill="FFFFFF"/>
          </w:tcPr>
          <w:p>
            <w:pPr>
              <w:spacing w:after="20" w:before="20"/>
            </w:pPr>
            <w:r/>
            <w:r>
              <w:rPr>
                <w:rFonts w:ascii="Calibri" w:hAnsi="Calibri"/>
                <w:b w:val="0"/>
                <w:color w:val="333333"/>
                <w:sz w:val="18"/>
              </w:rPr>
              <w:t>(beyond ToR / FS)</w:t>
            </w:r>
          </w:p>
        </w:tc>
        <w:tc>
          <w:tcPr>
            <w:tcW w:type="dxa" w:w="4176"/>
            <w:shd w:val="clear" w:fill="FFFFFF"/>
          </w:tcPr>
          <w:p>
            <w:pPr>
              <w:spacing w:after="20" w:before="20"/>
            </w:pPr>
            <w:r/>
            <w:r>
              <w:rPr>
                <w:rFonts w:ascii="Calibri" w:hAnsi="Calibri"/>
                <w:b w:val="0"/>
                <w:color w:val="333333"/>
                <w:sz w:val="18"/>
              </w:rPr>
              <w:t>Hydrology tool family (§7.5)</w:t>
            </w:r>
          </w:p>
        </w:tc>
        <w:tc>
          <w:tcPr>
            <w:tcW w:type="dxa" w:w="1440"/>
            <w:shd w:val="clear" w:fill="FFFFFF"/>
          </w:tcPr>
          <w:p>
            <w:pPr>
              <w:spacing w:after="20" w:before="20"/>
            </w:pPr>
            <w:r/>
            <w:r>
              <w:rPr>
                <w:rFonts w:ascii="Calibri" w:hAnsi="Calibri"/>
                <w:b/>
                <w:color w:val="1E1A4B"/>
                <w:sz w:val="18"/>
              </w:rPr>
              <w:t>Value-add</w:t>
            </w:r>
          </w:p>
        </w:tc>
      </w:tr>
      <w:tr>
        <w:trPr>
          <w:cantSplit/>
        </w:trPr>
        <w:tc>
          <w:tcPr>
            <w:tcW w:type="dxa" w:w="3096"/>
            <w:shd w:val="clear" w:fill="F0F0F8"/>
          </w:tcPr>
          <w:p>
            <w:pPr>
              <w:spacing w:after="20" w:before="20"/>
            </w:pPr>
            <w:r/>
            <w:r>
              <w:rPr>
                <w:rFonts w:ascii="Calibri" w:hAnsi="Calibri"/>
                <w:b w:val="0"/>
                <w:color w:val="333333"/>
                <w:sz w:val="18"/>
              </w:rPr>
              <w:t>3D visualisation</w:t>
            </w:r>
          </w:p>
        </w:tc>
        <w:tc>
          <w:tcPr>
            <w:tcW w:type="dxa" w:w="1224"/>
            <w:shd w:val="clear" w:fill="F0F0F8"/>
          </w:tcPr>
          <w:p>
            <w:pPr>
              <w:spacing w:after="20" w:before="20"/>
            </w:pPr>
            <w:r/>
            <w:r>
              <w:rPr>
                <w:rFonts w:ascii="Calibri" w:hAnsi="Calibri"/>
                <w:b w:val="0"/>
                <w:color w:val="333333"/>
                <w:sz w:val="18"/>
              </w:rPr>
              <w:t>FS §2</w:t>
            </w:r>
          </w:p>
        </w:tc>
        <w:tc>
          <w:tcPr>
            <w:tcW w:type="dxa" w:w="4176"/>
            <w:shd w:val="clear" w:fill="F0F0F8"/>
          </w:tcPr>
          <w:p>
            <w:pPr>
              <w:spacing w:after="20" w:before="20"/>
            </w:pPr>
            <w:r/>
            <w:r>
              <w:rPr>
                <w:rFonts w:ascii="Calibri" w:hAnsi="Calibri"/>
                <w:b w:val="0"/>
                <w:color w:val="333333"/>
                <w:sz w:val="18"/>
              </w:rPr>
              <w:t>Not part of this analytics concept — separate workstream</w:t>
            </w:r>
          </w:p>
        </w:tc>
        <w:tc>
          <w:tcPr>
            <w:tcW w:type="dxa" w:w="1440"/>
            <w:shd w:val="clear" w:fill="F0F0F8"/>
          </w:tcPr>
          <w:p>
            <w:pPr>
              <w:spacing w:after="20" w:before="20"/>
            </w:pPr>
            <w:r/>
            <w:r>
              <w:rPr>
                <w:rFonts w:ascii="Calibri" w:hAnsi="Calibri"/>
                <w:b/>
                <w:color w:val="6B7280"/>
                <w:sz w:val="18"/>
              </w:rPr>
              <w:t>Out of scope</w:t>
            </w:r>
          </w:p>
        </w:tc>
      </w:tr>
      <w:tr>
        <w:trPr>
          <w:cantSplit/>
        </w:trPr>
        <w:tc>
          <w:tcPr>
            <w:tcW w:type="dxa" w:w="3096"/>
            <w:shd w:val="clear" w:fill="FFFFFF"/>
          </w:tcPr>
          <w:p>
            <w:pPr>
              <w:spacing w:after="20" w:before="20"/>
            </w:pPr>
            <w:r/>
            <w:r>
              <w:rPr>
                <w:rFonts w:ascii="Calibri" w:hAnsi="Calibri"/>
                <w:b w:val="0"/>
                <w:color w:val="333333"/>
                <w:sz w:val="18"/>
              </w:rPr>
              <w:t>AI / ML–enabled capabilities</w:t>
            </w:r>
          </w:p>
        </w:tc>
        <w:tc>
          <w:tcPr>
            <w:tcW w:type="dxa" w:w="1224"/>
            <w:shd w:val="clear" w:fill="FFFFFF"/>
          </w:tcPr>
          <w:p>
            <w:pPr>
              <w:spacing w:after="20" w:before="20"/>
            </w:pPr>
            <w:r/>
            <w:r>
              <w:rPr>
                <w:rFonts w:ascii="Calibri" w:hAnsi="Calibri"/>
                <w:b w:val="0"/>
                <w:color w:val="333333"/>
                <w:sz w:val="18"/>
              </w:rPr>
              <w:t>FS §2</w:t>
            </w:r>
          </w:p>
        </w:tc>
        <w:tc>
          <w:tcPr>
            <w:tcW w:type="dxa" w:w="4176"/>
            <w:shd w:val="clear" w:fill="FFFFFF"/>
          </w:tcPr>
          <w:p>
            <w:pPr>
              <w:spacing w:after="20" w:before="20"/>
            </w:pPr>
            <w:r/>
            <w:r>
              <w:rPr>
                <w:rFonts w:ascii="Calibri" w:hAnsi="Calibri"/>
                <w:b w:val="0"/>
                <w:color w:val="333333"/>
                <w:sz w:val="18"/>
              </w:rPr>
              <w:t>Not part of this concept; FS itself flags LUSPA to define the scope</w:t>
            </w:r>
          </w:p>
        </w:tc>
        <w:tc>
          <w:tcPr>
            <w:tcW w:type="dxa" w:w="1440"/>
            <w:shd w:val="clear" w:fill="FFFFFF"/>
          </w:tcPr>
          <w:p>
            <w:pPr>
              <w:spacing w:after="20" w:before="20"/>
            </w:pPr>
            <w:r/>
            <w:r>
              <w:rPr>
                <w:rFonts w:ascii="Calibri" w:hAnsi="Calibri"/>
                <w:b/>
                <w:color w:val="6B7280"/>
                <w:sz w:val="18"/>
              </w:rPr>
              <w:t>Out of scope</w:t>
            </w:r>
          </w:p>
        </w:tc>
      </w:tr>
    </w:tbl>
    <w:p>
      <w:pPr>
        <w:spacing w:after="80"/>
      </w:pPr>
    </w:p>
    <w:p>
      <w:pPr>
        <w:spacing w:after="120"/>
      </w:pPr>
      <w:r>
        <w:rPr>
          <w:rFonts w:ascii="Calibri" w:hAnsi="Calibri"/>
          <w:b/>
          <w:i w:val="0"/>
          <w:color w:val="333333"/>
          <w:sz w:val="22"/>
        </w:rPr>
        <w:t>Strong, direct alignment.</w:t>
      </w:r>
      <w:r>
        <w:rPr>
          <w:rFonts w:ascii="Calibri" w:hAnsi="Calibri"/>
          <w:b w:val="0"/>
          <w:i w:val="0"/>
          <w:color w:val="333333"/>
          <w:sz w:val="22"/>
        </w:rPr>
        <w:t xml:space="preserve"> The five proposed tools map onto ToR §2.4.2b's “advanced spatial analysis … patterns, relationships and trends” and FS §2's “Spatial Queries &amp; Analysis”. Buffering, overlay and proximity are covered by Overlays and Network Analysis; the requested statistical summaries (mean, median, mode, variance, SD) are exactly what Zonal Statistics and attribute aggregation produce.</w:t>
      </w:r>
    </w:p>
    <w:p>
      <w:pPr>
        <w:spacing w:after="120"/>
      </w:pPr>
      <w:r>
        <w:rPr>
          <w:rFonts w:ascii="Calibri" w:hAnsi="Calibri"/>
          <w:b/>
          <w:i w:val="0"/>
          <w:color w:val="333333"/>
          <w:sz w:val="22"/>
        </w:rPr>
        <w:t>The concept answers an open Functional-Specification request.</w:t>
      </w:r>
      <w:r>
        <w:rPr>
          <w:rFonts w:ascii="Calibri" w:hAnsi="Calibri"/>
          <w:b w:val="0"/>
          <w:i w:val="0"/>
          <w:color w:val="333333"/>
          <w:sz w:val="22"/>
        </w:rPr>
        <w:t xml:space="preserve"> FS §2 explicitly asks the system to connect to Google Earth Engine and global geoportals (ERA5, WorldPop) for land cover, rainfall, population and environmental data — and the FS carries a margin note asking LUSPA to name the datasets. The Earth Engine integration in §6.2 gives a concrete, implementable answer to that request.</w:t>
      </w:r>
    </w:p>
    <w:p>
      <w:pPr>
        <w:spacing w:after="120"/>
      </w:pPr>
      <w:r>
        <w:rPr>
          <w:rFonts w:ascii="Calibri" w:hAnsi="Calibri"/>
          <w:b/>
          <w:i w:val="0"/>
          <w:color w:val="333333"/>
          <w:sz w:val="22"/>
        </w:rPr>
        <w:t>Terrain requirement met in-house.</w:t>
      </w:r>
      <w:r>
        <w:rPr>
          <w:rFonts w:ascii="Calibri" w:hAnsi="Calibri"/>
          <w:b w:val="0"/>
          <w:i w:val="0"/>
          <w:color w:val="333333"/>
          <w:sz w:val="22"/>
        </w:rPr>
        <w:t xml:space="preserve"> FS §3's slope, aspect and hillshade are satisfied by deriving a DEM from the existing OpenTopography elevation contours; Hydrology extends this to drainage and screening-level flood indication.</w:t>
      </w:r>
    </w:p>
    <w:p>
      <w:pPr>
        <w:spacing w:after="120"/>
      </w:pPr>
      <w:r>
        <w:rPr>
          <w:rFonts w:ascii="Calibri" w:hAnsi="Calibri"/>
          <w:b/>
          <w:i w:val="0"/>
          <w:color w:val="333333"/>
          <w:sz w:val="22"/>
        </w:rPr>
        <w:t>Value beyond the requirements.</w:t>
      </w:r>
      <w:r>
        <w:rPr>
          <w:rFonts w:ascii="Calibri" w:hAnsi="Calibri"/>
          <w:b w:val="0"/>
          <w:i w:val="0"/>
          <w:color w:val="333333"/>
          <w:sz w:val="22"/>
        </w:rPr>
        <w:t xml:space="preserve"> Hydrology and flood screening go beyond the explicit ToR/FS wording, adding decision-support value for land-use planning in flood-prone areas.</w:t>
      </w:r>
    </w:p>
    <w:p>
      <w:pPr>
        <w:spacing w:after="120"/>
      </w:pPr>
      <w:r>
        <w:rPr>
          <w:rFonts w:ascii="Calibri" w:hAnsi="Calibri"/>
          <w:b/>
          <w:i w:val="0"/>
          <w:color w:val="333333"/>
          <w:sz w:val="22"/>
        </w:rPr>
        <w:t>Deliberately out of scope.</w:t>
      </w:r>
      <w:r>
        <w:rPr>
          <w:rFonts w:ascii="Calibri" w:hAnsi="Calibri"/>
          <w:b w:val="0"/>
          <w:i w:val="0"/>
          <w:color w:val="333333"/>
          <w:sz w:val="22"/>
        </w:rPr>
        <w:t xml:space="preserve"> 3D visualisation and AI/ML capabilities are named in FS §2 but are separate workstreams — the FS itself marks AI/ML as pending LUSPA's definition. This concept does not attempt them; they should be scoped and planned separately.</w:t>
      </w:r>
    </w:p>
    <w:p>
      <w:pPr>
        <w:pStyle w:val="berschrift1"/>
      </w:pPr>
      <w:r>
        <w:t>12. Recommendations &amp; Next Steps</w:t>
      </w:r>
    </w:p>
    <w:p>
      <w:pPr>
        <w:spacing w:after="60"/>
        <w:ind w:left="403" w:hanging="259"/>
      </w:pPr>
      <w:r>
        <w:rPr>
          <w:rFonts w:ascii="Calibri" w:hAnsi="Calibri"/>
          <w:b/>
          <w:color w:val="1E1A4B"/>
          <w:sz w:val="22"/>
        </w:rPr>
        <w:t>•</w:t>
        <w:tab/>
      </w:r>
      <w:r>
        <w:rPr>
          <w:rFonts w:ascii="Calibri" w:hAnsi="Calibri"/>
          <w:b/>
          <w:i w:val="0"/>
          <w:color w:val="333333"/>
          <w:sz w:val="22"/>
        </w:rPr>
        <w:t>Adopt the hybrid architecture</w:t>
      </w:r>
      <w:r>
        <w:rPr>
          <w:rFonts w:ascii="Calibri" w:hAnsi="Calibri"/>
          <w:b w:val="0"/>
          <w:i w:val="0"/>
          <w:color w:val="333333"/>
          <w:sz w:val="22"/>
        </w:rPr>
        <w:t xml:space="preserve"> and confirm that server-side geoprocessing (PostGIS Raster, pgRouting, GDAL) may be added to the API server.</w:t>
      </w:r>
    </w:p>
    <w:p>
      <w:pPr>
        <w:spacing w:after="60"/>
        <w:ind w:left="403" w:hanging="259"/>
      </w:pPr>
      <w:r>
        <w:rPr>
          <w:rFonts w:ascii="Calibri" w:hAnsi="Calibri"/>
          <w:b/>
          <w:color w:val="1E1A4B"/>
          <w:sz w:val="22"/>
        </w:rPr>
        <w:t>•</w:t>
        <w:tab/>
      </w:r>
      <w:r>
        <w:rPr>
          <w:rFonts w:ascii="Calibri" w:hAnsi="Calibri"/>
          <w:b/>
          <w:i w:val="0"/>
          <w:color w:val="333333"/>
          <w:sz w:val="22"/>
        </w:rPr>
        <w:t>Start with Stage 1</w:t>
      </w:r>
      <w:r>
        <w:rPr>
          <w:rFonts w:ascii="Calibri" w:hAnsi="Calibri"/>
          <w:b w:val="0"/>
          <w:i w:val="0"/>
          <w:color w:val="333333"/>
          <w:sz w:val="22"/>
        </w:rPr>
        <w:t xml:space="preserve"> — vector overlays, zonal statistics, and raster display — which reuse the current stack and deliver quick wins.</w:t>
      </w:r>
    </w:p>
    <w:p>
      <w:pPr>
        <w:spacing w:after="60"/>
        <w:ind w:left="403" w:hanging="259"/>
      </w:pPr>
      <w:r>
        <w:rPr>
          <w:rFonts w:ascii="Calibri" w:hAnsi="Calibri"/>
          <w:b/>
          <w:color w:val="1E1A4B"/>
          <w:sz w:val="22"/>
        </w:rPr>
        <w:t>•</w:t>
        <w:tab/>
      </w:r>
      <w:r>
        <w:rPr>
          <w:rFonts w:ascii="Calibri" w:hAnsi="Calibri"/>
          <w:b/>
          <w:i w:val="0"/>
          <w:color w:val="333333"/>
          <w:sz w:val="22"/>
        </w:rPr>
        <w:t>Stand up the raster-upload → COG pipeline</w:t>
      </w:r>
      <w:r>
        <w:rPr>
          <w:rFonts w:ascii="Calibri" w:hAnsi="Calibri"/>
          <w:b w:val="0"/>
          <w:i w:val="0"/>
          <w:color w:val="333333"/>
          <w:sz w:val="22"/>
        </w:rPr>
        <w:t xml:space="preserve"> early, since it unlocks zonal statistics, interpolation, and hydrology.</w:t>
      </w:r>
    </w:p>
    <w:p>
      <w:pPr>
        <w:spacing w:after="60"/>
        <w:ind w:left="403" w:hanging="259"/>
      </w:pPr>
      <w:r>
        <w:rPr>
          <w:rFonts w:ascii="Calibri" w:hAnsi="Calibri"/>
          <w:b/>
          <w:color w:val="1E1A4B"/>
          <w:sz w:val="22"/>
        </w:rPr>
        <w:t>•</w:t>
        <w:tab/>
      </w:r>
      <w:r>
        <w:rPr>
          <w:rFonts w:ascii="Calibri" w:hAnsi="Calibri"/>
          <w:b/>
          <w:i w:val="0"/>
          <w:color w:val="333333"/>
          <w:sz w:val="22"/>
        </w:rPr>
        <w:t>Confirm the DEM source and data-sharing terms</w:t>
      </w:r>
      <w:r>
        <w:rPr>
          <w:rFonts w:ascii="Calibri" w:hAnsi="Calibri"/>
          <w:b w:val="0"/>
          <w:i w:val="0"/>
          <w:color w:val="333333"/>
          <w:sz w:val="22"/>
        </w:rPr>
        <w:t xml:space="preserve"> needed for hydrology and terrain interpolation.</w:t>
      </w:r>
    </w:p>
    <w:p>
      <w:pPr>
        <w:spacing w:after="60"/>
        <w:ind w:left="403" w:hanging="259"/>
      </w:pPr>
      <w:r>
        <w:rPr>
          <w:rFonts w:ascii="Calibri" w:hAnsi="Calibri"/>
          <w:b/>
          <w:color w:val="1E1A4B"/>
          <w:sz w:val="22"/>
        </w:rPr>
        <w:t>•</w:t>
        <w:tab/>
      </w:r>
      <w:r>
        <w:rPr>
          <w:rFonts w:ascii="Calibri" w:hAnsi="Calibri"/>
          <w:b/>
          <w:i w:val="0"/>
          <w:color w:val="333333"/>
          <w:sz w:val="22"/>
        </w:rPr>
        <w:t>Use the LUSPA Google Earth Engine account</w:t>
      </w:r>
      <w:r>
        <w:rPr>
          <w:rFonts w:ascii="Calibri" w:hAnsi="Calibri"/>
          <w:b w:val="0"/>
          <w:i w:val="0"/>
          <w:color w:val="333333"/>
          <w:sz w:val="22"/>
        </w:rPr>
        <w:t xml:space="preserve"> as the primary source for DEMs, imagery, land cover and surface-water data, and offload suitable raster computation to GEE to reduce server load.</w:t>
      </w:r>
    </w:p>
    <w:p>
      <w:pPr>
        <w:spacing w:after="60"/>
        <w:ind w:left="403" w:hanging="259"/>
      </w:pPr>
      <w:r>
        <w:rPr>
          <w:rFonts w:ascii="Calibri" w:hAnsi="Calibri"/>
          <w:b/>
          <w:color w:val="1E1A4B"/>
          <w:sz w:val="22"/>
        </w:rPr>
        <w:t>•</w:t>
        <w:tab/>
      </w:r>
      <w:r>
        <w:rPr>
          <w:rFonts w:ascii="Calibri" w:hAnsi="Calibri"/>
          <w:b/>
          <w:i w:val="0"/>
          <w:color w:val="333333"/>
          <w:sz w:val="22"/>
        </w:rPr>
        <w:t>Reuse the existing elevation contours</w:t>
      </w:r>
      <w:r>
        <w:rPr>
          <w:rFonts w:ascii="Calibri" w:hAnsi="Calibri"/>
          <w:b w:val="0"/>
          <w:i w:val="0"/>
          <w:color w:val="333333"/>
          <w:sz w:val="22"/>
        </w:rPr>
        <w:t xml:space="preserve"> (spatial.be_contours_hillshade, from OpenTopography) — interpolate a district DEM from them for slope, zonal statistics, and screening-level hydrology, with no external dependency.</w:t>
      </w:r>
    </w:p>
    <w:p>
      <w:pPr>
        <w:spacing w:after="60"/>
        <w:ind w:left="403" w:hanging="259"/>
      </w:pPr>
      <w:r>
        <w:rPr>
          <w:rFonts w:ascii="Calibri" w:hAnsi="Calibri"/>
          <w:b/>
          <w:color w:val="1E1A4B"/>
          <w:sz w:val="22"/>
        </w:rPr>
        <w:t>•</w:t>
        <w:tab/>
      </w:r>
      <w:r>
        <w:rPr>
          <w:rFonts w:ascii="Calibri" w:hAnsi="Calibri"/>
          <w:b/>
          <w:i w:val="0"/>
          <w:color w:val="333333"/>
          <w:sz w:val="22"/>
        </w:rPr>
        <w:t>Scope detailed flood modelling separately</w:t>
      </w:r>
      <w:r>
        <w:rPr>
          <w:rFonts w:ascii="Calibri" w:hAnsi="Calibri"/>
          <w:b w:val="0"/>
          <w:i w:val="0"/>
          <w:color w:val="333333"/>
          <w:sz w:val="22"/>
        </w:rPr>
        <w:t xml:space="preserve"> as a specialist activity, with LUPMIS2 as the display and dissemination platform for its outputs.</w:t>
      </w:r>
    </w:p>
    <w:p>
      <w:pPr>
        <w:pStyle w:val="berschrift1"/>
      </w:pPr>
      <w:r>
        <w:t>13. Questions for LUSPA and the TWG</w:t>
      </w:r>
    </w:p>
    <w:p>
      <w:pPr>
        <w:spacing w:after="60"/>
        <w:ind w:left="403" w:hanging="259"/>
      </w:pPr>
      <w:r>
        <w:rPr>
          <w:rFonts w:ascii="Calibri" w:hAnsi="Calibri"/>
          <w:b/>
          <w:color w:val="1E1A4B"/>
          <w:sz w:val="22"/>
        </w:rPr>
        <w:t>•</w:t>
        <w:tab/>
      </w:r>
      <w:r>
        <w:rPr>
          <w:rFonts w:ascii="Calibri" w:hAnsi="Calibri"/>
          <w:b w:val="0"/>
          <w:i w:val="0"/>
          <w:color w:val="333333"/>
          <w:sz w:val="22"/>
        </w:rPr>
        <w:t>Is server-side geoprocessing infrastructure on the API server acceptable, or are there hosting constraints to design around?</w:t>
      </w:r>
    </w:p>
    <w:p>
      <w:pPr>
        <w:spacing w:after="60"/>
        <w:ind w:left="403" w:hanging="259"/>
      </w:pPr>
      <w:r>
        <w:rPr>
          <w:rFonts w:ascii="Calibri" w:hAnsi="Calibri"/>
          <w:b/>
          <w:color w:val="1E1A4B"/>
          <w:sz w:val="22"/>
        </w:rPr>
        <w:t>•</w:t>
        <w:tab/>
      </w:r>
      <w:r>
        <w:rPr>
          <w:rFonts w:ascii="Calibri" w:hAnsi="Calibri"/>
          <w:b w:val="0"/>
          <w:i w:val="0"/>
          <w:color w:val="333333"/>
          <w:sz w:val="22"/>
        </w:rPr>
        <w:t>Which DEM (source, resolution, licence) will be authoritative for hydrology and terrain analysis?</w:t>
      </w:r>
    </w:p>
    <w:p>
      <w:pPr>
        <w:spacing w:after="60"/>
        <w:ind w:left="403" w:hanging="259"/>
      </w:pPr>
      <w:r>
        <w:rPr>
          <w:rFonts w:ascii="Calibri" w:hAnsi="Calibri"/>
          <w:b/>
          <w:color w:val="1E1A4B"/>
          <w:sz w:val="22"/>
        </w:rPr>
        <w:t>•</w:t>
        <w:tab/>
      </w:r>
      <w:r>
        <w:rPr>
          <w:rFonts w:ascii="Calibri" w:hAnsi="Calibri"/>
          <w:b w:val="0"/>
          <w:i w:val="0"/>
          <w:color w:val="333333"/>
          <w:sz w:val="22"/>
        </w:rPr>
        <w:t>For flood work, is a screening-level indication inside LUPMIS2 sufficient, or is calibrated hydrodynamic modelling required?</w:t>
      </w:r>
    </w:p>
    <w:p>
      <w:pPr>
        <w:spacing w:after="60"/>
        <w:ind w:left="403" w:hanging="259"/>
      </w:pPr>
      <w:r>
        <w:rPr>
          <w:rFonts w:ascii="Calibri" w:hAnsi="Calibri"/>
          <w:b/>
          <w:color w:val="1E1A4B"/>
          <w:sz w:val="22"/>
        </w:rPr>
        <w:t>•</w:t>
        <w:tab/>
      </w:r>
      <w:r>
        <w:rPr>
          <w:rFonts w:ascii="Calibri" w:hAnsi="Calibri"/>
          <w:b w:val="0"/>
          <w:i w:val="0"/>
          <w:color w:val="333333"/>
          <w:sz w:val="22"/>
        </w:rPr>
        <w:t>Which external WMS/WFS services (national imagery, base layers) should be integrated first?</w:t>
      </w:r>
    </w:p>
    <w:p>
      <w:pPr>
        <w:spacing w:after="60"/>
        <w:ind w:left="403" w:hanging="259"/>
      </w:pPr>
      <w:r>
        <w:rPr>
          <w:rFonts w:ascii="Calibri" w:hAnsi="Calibri"/>
          <w:b/>
          <w:color w:val="1E1A4B"/>
          <w:sz w:val="22"/>
        </w:rPr>
        <w:t>•</w:t>
        <w:tab/>
      </w:r>
      <w:r>
        <w:rPr>
          <w:rFonts w:ascii="Calibri" w:hAnsi="Calibri"/>
          <w:b w:val="0"/>
          <w:i w:val="0"/>
          <w:color w:val="333333"/>
          <w:sz w:val="22"/>
        </w:rPr>
        <w:t>Is the LUSPA Google Earth Engine account cleared for operational/government use, and can a service account be provided for the API server to call GEE?</w:t>
      </w:r>
    </w:p>
    <w:p>
      <w:pPr>
        <w:pStyle w:val="berschrift1"/>
      </w:pPr>
      <w:r>
        <w:t>Annex A. Developer Implementation Notes</w:t>
      </w:r>
    </w:p>
    <w:p>
      <w:pPr>
        <w:spacing w:after="120"/>
      </w:pPr>
      <w:r>
        <w:rPr>
          <w:rFonts w:ascii="Calibri" w:hAnsi="Calibri"/>
          <w:b w:val="0"/>
          <w:i w:val="0"/>
          <w:color w:val="333333"/>
          <w:sz w:val="22"/>
        </w:rPr>
        <w:t>This annex records concrete technical choices for the development team; it is not required reading for decision-makers.</w:t>
      </w:r>
    </w:p>
    <w:p>
      <w:pPr>
        <w:pStyle w:val="berschrift2"/>
      </w:pPr>
      <w:r>
        <w:t>A.1 Components and libraries</w:t>
      </w:r>
    </w:p>
    <w:p>
      <w:pPr>
        <w:spacing w:after="60"/>
        <w:ind w:left="403" w:hanging="259"/>
      </w:pPr>
      <w:r>
        <w:rPr>
          <w:rFonts w:ascii="Calibri" w:hAnsi="Calibri"/>
          <w:b/>
          <w:color w:val="1E1A4B"/>
          <w:sz w:val="22"/>
        </w:rPr>
        <w:t>•</w:t>
        <w:tab/>
      </w:r>
      <w:r>
        <w:rPr>
          <w:rFonts w:ascii="Calibri" w:hAnsi="Calibri"/>
          <w:b/>
          <w:i w:val="0"/>
          <w:color w:val="333333"/>
          <w:sz w:val="22"/>
        </w:rPr>
        <w:t>Client:</w:t>
      </w:r>
      <w:r>
        <w:rPr>
          <w:rFonts w:ascii="Calibri" w:hAnsi="Calibri"/>
          <w:b w:val="0"/>
          <w:i w:val="0"/>
          <w:color w:val="333333"/>
          <w:sz w:val="22"/>
        </w:rPr>
        <w:t xml:space="preserve"> OpenLayers (map + WebGL raster), Turf.js (vector overlays/buffer), the existing EditBar and import/export modules.</w:t>
      </w:r>
    </w:p>
    <w:p>
      <w:pPr>
        <w:spacing w:after="60"/>
        <w:ind w:left="403" w:hanging="259"/>
      </w:pPr>
      <w:r>
        <w:rPr>
          <w:rFonts w:ascii="Calibri" w:hAnsi="Calibri"/>
          <w:b/>
          <w:color w:val="1E1A4B"/>
          <w:sz w:val="22"/>
        </w:rPr>
        <w:t>•</w:t>
        <w:tab/>
      </w:r>
      <w:r>
        <w:rPr>
          <w:rFonts w:ascii="Calibri" w:hAnsi="Calibri"/>
          <w:b/>
          <w:i w:val="0"/>
          <w:color w:val="333333"/>
          <w:sz w:val="22"/>
        </w:rPr>
        <w:t>Server:</w:t>
      </w:r>
      <w:r>
        <w:rPr>
          <w:rFonts w:ascii="Calibri" w:hAnsi="Calibri"/>
          <w:b w:val="0"/>
          <w:i w:val="0"/>
          <w:color w:val="333333"/>
          <w:sz w:val="22"/>
        </w:rPr>
        <w:t xml:space="preserve"> PostgreSQL/PostGIS (+ PostGIS Raster), pgRouting, GDAL/OGR, SAGA or WhiteboxTools for interpolation and hydrology; a small job runner for async processing.</w:t>
      </w:r>
    </w:p>
    <w:p>
      <w:pPr>
        <w:pStyle w:val="berschrift2"/>
      </w:pPr>
      <w:r>
        <w:t>A.2 Data formats</w:t>
      </w:r>
    </w:p>
    <w:p>
      <w:pPr>
        <w:spacing w:after="60"/>
        <w:ind w:left="403" w:hanging="259"/>
      </w:pPr>
      <w:r>
        <w:rPr>
          <w:rFonts w:ascii="Calibri" w:hAnsi="Calibri"/>
          <w:b/>
          <w:color w:val="1E1A4B"/>
          <w:sz w:val="22"/>
        </w:rPr>
        <w:t>•</w:t>
        <w:tab/>
      </w:r>
      <w:r>
        <w:rPr>
          <w:rFonts w:ascii="Calibri" w:hAnsi="Calibri"/>
          <w:b/>
          <w:i w:val="0"/>
          <w:color w:val="333333"/>
          <w:sz w:val="22"/>
        </w:rPr>
        <w:t>Cloud-Optimized GeoTIFF (COG)</w:t>
      </w:r>
      <w:r>
        <w:rPr>
          <w:rFonts w:ascii="Calibri" w:hAnsi="Calibri"/>
          <w:b w:val="0"/>
          <w:i w:val="0"/>
          <w:color w:val="333333"/>
          <w:sz w:val="22"/>
        </w:rPr>
        <w:t xml:space="preserve"> for rasters (stream + tile without full download).</w:t>
      </w:r>
    </w:p>
    <w:p>
      <w:pPr>
        <w:spacing w:after="60"/>
        <w:ind w:left="403" w:hanging="259"/>
      </w:pPr>
      <w:r>
        <w:rPr>
          <w:rFonts w:ascii="Calibri" w:hAnsi="Calibri"/>
          <w:b/>
          <w:color w:val="1E1A4B"/>
          <w:sz w:val="22"/>
        </w:rPr>
        <w:t>•</w:t>
        <w:tab/>
      </w:r>
      <w:r>
        <w:rPr>
          <w:rFonts w:ascii="Calibri" w:hAnsi="Calibri"/>
          <w:b/>
          <w:i w:val="0"/>
          <w:color w:val="333333"/>
          <w:sz w:val="22"/>
        </w:rPr>
        <w:t>GeoJSON</w:t>
      </w:r>
      <w:r>
        <w:rPr>
          <w:rFonts w:ascii="Calibri" w:hAnsi="Calibri"/>
          <w:b w:val="0"/>
          <w:i w:val="0"/>
          <w:color w:val="333333"/>
          <w:sz w:val="22"/>
        </w:rPr>
        <w:t xml:space="preserve"> for small vector results; </w:t>
      </w:r>
      <w:r>
        <w:rPr>
          <w:rFonts w:ascii="Calibri" w:hAnsi="Calibri"/>
          <w:b/>
          <w:i w:val="0"/>
          <w:color w:val="333333"/>
          <w:sz w:val="22"/>
        </w:rPr>
        <w:t>Mapbox Vector Tiles (MVT)</w:t>
      </w:r>
      <w:r>
        <w:rPr>
          <w:rFonts w:ascii="Calibri" w:hAnsi="Calibri"/>
          <w:b w:val="0"/>
          <w:i w:val="0"/>
          <w:color w:val="333333"/>
          <w:sz w:val="22"/>
        </w:rPr>
        <w:t xml:space="preserve"> for large result sets.</w:t>
      </w:r>
    </w:p>
    <w:p>
      <w:pPr>
        <w:pStyle w:val="berschrift2"/>
      </w:pPr>
      <w:r>
        <w:t>A.3 Asynchronous job pattern</w:t>
      </w:r>
    </w:p>
    <w:p>
      <w:pPr>
        <w:spacing w:after="120"/>
      </w:pPr>
      <w:r>
        <w:rPr>
          <w:rFonts w:ascii="Calibri" w:hAnsi="Calibri"/>
          <w:b w:val="0"/>
          <w:i w:val="0"/>
          <w:color w:val="333333"/>
          <w:sz w:val="22"/>
        </w:rPr>
        <w:t>Heavy analysis is submitted as a job: POST parameters → receive a job id → the client polls status → on completion, fetch the result (GeoJSON/COG/tile URL) and add it as a layer. Outputs are written to an object store and referenced from the job record; the client caches the result for offline re-use. This mirrors the existing staged-upload flow.</w:t>
      </w:r>
    </w:p>
    <w:p>
      <w:pPr>
        <w:pStyle w:val="berschrift2"/>
      </w:pPr>
      <w:r>
        <w:t>A.4 Indicative server operations</w:t>
      </w:r>
    </w:p>
    <w:p>
      <w:pPr>
        <w:spacing w:after="60"/>
        <w:ind w:left="403" w:hanging="259"/>
      </w:pPr>
      <w:r>
        <w:rPr>
          <w:rFonts w:ascii="Calibri" w:hAnsi="Calibri"/>
          <w:b/>
          <w:color w:val="1E1A4B"/>
          <w:sz w:val="22"/>
        </w:rPr>
        <w:t>•</w:t>
        <w:tab/>
      </w:r>
      <w:r>
        <w:rPr>
          <w:rFonts w:ascii="Calibri" w:hAnsi="Calibri"/>
          <w:b/>
          <w:i w:val="0"/>
          <w:color w:val="333333"/>
          <w:sz w:val="22"/>
        </w:rPr>
        <w:t>Overlay:</w:t>
      </w:r>
      <w:r>
        <w:rPr>
          <w:rFonts w:ascii="Calibri" w:hAnsi="Calibri"/>
          <w:b w:val="0"/>
          <w:i w:val="0"/>
          <w:color w:val="333333"/>
          <w:sz w:val="22"/>
        </w:rPr>
        <w:t xml:space="preserve"> PostGIS ST_Intersection / ST_Difference / ST_Union.</w:t>
      </w:r>
    </w:p>
    <w:p>
      <w:pPr>
        <w:spacing w:after="60"/>
        <w:ind w:left="403" w:hanging="259"/>
      </w:pPr>
      <w:r>
        <w:rPr>
          <w:rFonts w:ascii="Calibri" w:hAnsi="Calibri"/>
          <w:b/>
          <w:color w:val="1E1A4B"/>
          <w:sz w:val="22"/>
        </w:rPr>
        <w:t>•</w:t>
        <w:tab/>
      </w:r>
      <w:r>
        <w:rPr>
          <w:rFonts w:ascii="Calibri" w:hAnsi="Calibri"/>
          <w:b/>
          <w:i w:val="0"/>
          <w:color w:val="333333"/>
          <w:sz w:val="22"/>
        </w:rPr>
        <w:t>Zonal statistics:</w:t>
      </w:r>
      <w:r>
        <w:rPr>
          <w:rFonts w:ascii="Calibri" w:hAnsi="Calibri"/>
          <w:b w:val="0"/>
          <w:i w:val="0"/>
          <w:color w:val="333333"/>
          <w:sz w:val="22"/>
        </w:rPr>
        <w:t xml:space="preserve"> ST_SummaryStats / ST_Clip over raster × zones.</w:t>
      </w:r>
    </w:p>
    <w:p>
      <w:pPr>
        <w:spacing w:after="60"/>
        <w:ind w:left="403" w:hanging="259"/>
      </w:pPr>
      <w:r>
        <w:rPr>
          <w:rFonts w:ascii="Calibri" w:hAnsi="Calibri"/>
          <w:b/>
          <w:color w:val="1E1A4B"/>
          <w:sz w:val="22"/>
        </w:rPr>
        <w:t>•</w:t>
        <w:tab/>
      </w:r>
      <w:r>
        <w:rPr>
          <w:rFonts w:ascii="Calibri" w:hAnsi="Calibri"/>
          <w:b/>
          <w:i w:val="0"/>
          <w:color w:val="333333"/>
          <w:sz w:val="22"/>
        </w:rPr>
        <w:t>Routing:</w:t>
      </w:r>
      <w:r>
        <w:rPr>
          <w:rFonts w:ascii="Calibri" w:hAnsi="Calibri"/>
          <w:b w:val="0"/>
          <w:i w:val="0"/>
          <w:color w:val="333333"/>
          <w:sz w:val="22"/>
        </w:rPr>
        <w:t xml:space="preserve"> pgRouting pgr_dijkstra / pgr_drivingDistance on a built road topology.</w:t>
      </w:r>
    </w:p>
    <w:p>
      <w:pPr>
        <w:spacing w:after="60"/>
        <w:ind w:left="403" w:hanging="259"/>
      </w:pPr>
      <w:r>
        <w:rPr>
          <w:rFonts w:ascii="Calibri" w:hAnsi="Calibri"/>
          <w:b/>
          <w:color w:val="1E1A4B"/>
          <w:sz w:val="22"/>
        </w:rPr>
        <w:t>•</w:t>
        <w:tab/>
      </w:r>
      <w:r>
        <w:rPr>
          <w:rFonts w:ascii="Calibri" w:hAnsi="Calibri"/>
          <w:b/>
          <w:i w:val="0"/>
          <w:color w:val="333333"/>
          <w:sz w:val="22"/>
        </w:rPr>
        <w:t>Interpolation:</w:t>
      </w:r>
      <w:r>
        <w:rPr>
          <w:rFonts w:ascii="Calibri" w:hAnsi="Calibri"/>
          <w:b w:val="0"/>
          <w:i w:val="0"/>
          <w:color w:val="333333"/>
          <w:sz w:val="22"/>
        </w:rPr>
        <w:t xml:space="preserve"> gdal_grid (IDW/average) or SAGA kriging → COG.</w:t>
      </w:r>
    </w:p>
    <w:p>
      <w:pPr>
        <w:spacing w:after="60"/>
        <w:ind w:left="403" w:hanging="259"/>
      </w:pPr>
      <w:r>
        <w:rPr>
          <w:rFonts w:ascii="Calibri" w:hAnsi="Calibri"/>
          <w:b/>
          <w:color w:val="1E1A4B"/>
          <w:sz w:val="22"/>
        </w:rPr>
        <w:t>•</w:t>
        <w:tab/>
      </w:r>
      <w:r>
        <w:rPr>
          <w:rFonts w:ascii="Calibri" w:hAnsi="Calibri"/>
          <w:b/>
          <w:i w:val="0"/>
          <w:color w:val="333333"/>
          <w:sz w:val="22"/>
        </w:rPr>
        <w:t>Hydrology:</w:t>
      </w:r>
      <w:r>
        <w:rPr>
          <w:rFonts w:ascii="Calibri" w:hAnsi="Calibri"/>
          <w:b w:val="0"/>
          <w:i w:val="0"/>
          <w:color w:val="333333"/>
          <w:sz w:val="22"/>
        </w:rPr>
        <w:t xml:space="preserve"> WhiteboxTools D8FlowAccumulation / Watershed; fill-to-level or HAND for screening-level inundation.</w:t>
      </w:r>
    </w:p>
    <w:p>
      <w:pPr>
        <w:pStyle w:val="berschrift2"/>
      </w:pPr>
      <w:r>
        <w:t>A.5 Google Earth Engine integration</w:t>
      </w:r>
    </w:p>
    <w:p>
      <w:pPr>
        <w:spacing w:after="60"/>
        <w:ind w:left="403" w:hanging="259"/>
      </w:pPr>
      <w:r>
        <w:rPr>
          <w:rFonts w:ascii="Calibri" w:hAnsi="Calibri"/>
          <w:b/>
          <w:color w:val="1E1A4B"/>
          <w:sz w:val="22"/>
        </w:rPr>
        <w:t>•</w:t>
        <w:tab/>
      </w:r>
      <w:r>
        <w:rPr>
          <w:rFonts w:ascii="Calibri" w:hAnsi="Calibri"/>
          <w:b/>
          <w:i w:val="0"/>
          <w:color w:val="333333"/>
          <w:sz w:val="22"/>
        </w:rPr>
        <w:t>Auth:</w:t>
      </w:r>
      <w:r>
        <w:rPr>
          <w:rFonts w:ascii="Calibri" w:hAnsi="Calibri"/>
          <w:b w:val="0"/>
          <w:i w:val="0"/>
          <w:color w:val="333333"/>
          <w:sz w:val="22"/>
        </w:rPr>
        <w:t xml:space="preserve"> the API server authenticates to GEE with a service-account key (no interactive sign-in); requests are scoped to a district area of interest.</w:t>
      </w:r>
    </w:p>
    <w:p>
      <w:pPr>
        <w:spacing w:after="60"/>
        <w:ind w:left="403" w:hanging="259"/>
      </w:pPr>
      <w:r>
        <w:rPr>
          <w:rFonts w:ascii="Calibri" w:hAnsi="Calibri"/>
          <w:b/>
          <w:color w:val="1E1A4B"/>
          <w:sz w:val="22"/>
        </w:rPr>
        <w:t>•</w:t>
        <w:tab/>
      </w:r>
      <w:r>
        <w:rPr>
          <w:rFonts w:ascii="Calibri" w:hAnsi="Calibri"/>
          <w:b/>
          <w:i w:val="0"/>
          <w:color w:val="333333"/>
          <w:sz w:val="22"/>
        </w:rPr>
        <w:t>Data pull:</w:t>
      </w:r>
      <w:r>
        <w:rPr>
          <w:rFonts w:ascii="Calibri" w:hAnsi="Calibri"/>
          <w:b w:val="0"/>
          <w:i w:val="0"/>
          <w:color w:val="333333"/>
          <w:sz w:val="22"/>
        </w:rPr>
        <w:t xml:space="preserve"> ee.Image/ee.ImageCollection filtered to the AOI and date range → Export.image.toCloudStorage as a COG, ingested by the normal pipeline; or getMapId() to stream XYZ tiles to the client for display.</w:t>
      </w:r>
    </w:p>
    <w:p>
      <w:pPr>
        <w:spacing w:after="60"/>
        <w:ind w:left="403" w:hanging="259"/>
      </w:pPr>
      <w:r>
        <w:rPr>
          <w:rFonts w:ascii="Calibri" w:hAnsi="Calibri"/>
          <w:b/>
          <w:color w:val="1E1A4B"/>
          <w:sz w:val="22"/>
        </w:rPr>
        <w:t>•</w:t>
        <w:tab/>
      </w:r>
      <w:r>
        <w:rPr>
          <w:rFonts w:ascii="Calibri" w:hAnsi="Calibri"/>
          <w:b/>
          <w:i w:val="0"/>
          <w:color w:val="333333"/>
          <w:sz w:val="22"/>
        </w:rPr>
        <w:t>Compute offload:</w:t>
      </w:r>
      <w:r>
        <w:rPr>
          <w:rFonts w:ascii="Calibri" w:hAnsi="Calibri"/>
          <w:b w:val="0"/>
          <w:i w:val="0"/>
          <w:color w:val="333333"/>
          <w:sz w:val="22"/>
        </w:rPr>
        <w:t xml:space="preserve"> reduceRegions for zonal statistics; Sentinel-1 thresholding for flood extent; NDVI/NDWI indices — returned as GeoJSON or tiles.</w:t>
      </w:r>
    </w:p>
    <w:p>
      <w:pPr>
        <w:spacing w:after="60"/>
        <w:ind w:left="403" w:hanging="259"/>
      </w:pPr>
      <w:r>
        <w:rPr>
          <w:rFonts w:ascii="Calibri" w:hAnsi="Calibri"/>
          <w:b/>
          <w:color w:val="1E1A4B"/>
          <w:sz w:val="22"/>
        </w:rPr>
        <w:t>•</w:t>
        <w:tab/>
      </w:r>
      <w:r>
        <w:rPr>
          <w:rFonts w:ascii="Calibri" w:hAnsi="Calibri"/>
          <w:b/>
          <w:i w:val="0"/>
          <w:color w:val="333333"/>
          <w:sz w:val="22"/>
        </w:rPr>
        <w:t>Caveats:</w:t>
      </w:r>
      <w:r>
        <w:rPr>
          <w:rFonts w:ascii="Calibri" w:hAnsi="Calibri"/>
          <w:b w:val="0"/>
          <w:i w:val="0"/>
          <w:color w:val="333333"/>
          <w:sz w:val="22"/>
        </w:rPr>
        <w:t xml:space="preserve"> online at request time (results cached after); export is asynchronous (fits the job pattern); mind Google quotas and Earth Engine licensing for operational use.</w:t>
      </w:r>
    </w:p>
    <w:p>
      <w:pPr>
        <w:pStyle w:val="berschrift2"/>
      </w:pPr>
      <w:r>
        <w:t>A.6 Security &amp; governance</w:t>
      </w:r>
    </w:p>
    <w:p>
      <w:pPr>
        <w:spacing w:after="60"/>
        <w:ind w:left="403" w:hanging="259"/>
      </w:pPr>
      <w:r>
        <w:rPr>
          <w:rFonts w:ascii="Calibri" w:hAnsi="Calibri"/>
          <w:b/>
          <w:color w:val="1E1A4B"/>
          <w:sz w:val="22"/>
        </w:rPr>
        <w:t>•</w:t>
        <w:tab/>
      </w:r>
      <w:r>
        <w:rPr>
          <w:rFonts w:ascii="Calibri" w:hAnsi="Calibri"/>
          <w:b w:val="0"/>
          <w:i w:val="0"/>
          <w:color w:val="333333"/>
          <w:sz w:val="22"/>
        </w:rPr>
        <w:t>Analysis endpoints are scoped by the authenticated session and district, consistent with existing API access control.</w:t>
      </w:r>
    </w:p>
    <w:p>
      <w:pPr>
        <w:spacing w:after="60"/>
        <w:ind w:left="403" w:hanging="259"/>
      </w:pPr>
      <w:r>
        <w:rPr>
          <w:rFonts w:ascii="Calibri" w:hAnsi="Calibri"/>
          <w:b/>
          <w:color w:val="1E1A4B"/>
          <w:sz w:val="22"/>
        </w:rPr>
        <w:t>•</w:t>
        <w:tab/>
      </w:r>
      <w:r>
        <w:rPr>
          <w:rFonts w:ascii="Calibri" w:hAnsi="Calibri"/>
          <w:b w:val="0"/>
          <w:i w:val="0"/>
          <w:color w:val="333333"/>
          <w:sz w:val="22"/>
        </w:rPr>
        <w:t>Uploaded rasters are validated (type, size, extent) before processing; job outputs inherit the same district scoping.</w:t>
      </w:r>
    </w:p>
    <w:p>
      <w:pPr>
        <w:spacing w:after="60"/>
        <w:ind w:left="403" w:hanging="259"/>
      </w:pPr>
      <w:r>
        <w:rPr>
          <w:rFonts w:ascii="Calibri" w:hAnsi="Calibri"/>
          <w:b/>
          <w:color w:val="1E1A4B"/>
          <w:sz w:val="22"/>
        </w:rPr>
        <w:t>•</w:t>
        <w:tab/>
      </w:r>
      <w:r>
        <w:rPr>
          <w:rFonts w:ascii="Calibri" w:hAnsi="Calibri"/>
          <w:b w:val="0"/>
          <w:i w:val="0"/>
          <w:color w:val="333333"/>
          <w:sz w:val="22"/>
        </w:rPr>
        <w:t>The Earth Engine service-account key is held server-side only and never exposed to the browser.</w:t>
      </w:r>
    </w:p>
    <w:sectPr w:rsidR="0032655B">
      <w:headerReference w:type="default" r:id="rId13"/>
      <w:footerReference w:type="defaul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F189B0" w14:textId="77777777" w:rsidR="00AE2CBB" w:rsidRDefault="00AE2CBB">
      <w:r>
        <w:separator/>
      </w:r>
    </w:p>
  </w:endnote>
  <w:endnote w:type="continuationSeparator" w:id="0">
    <w:p w14:paraId="2F99AFCD" w14:textId="77777777" w:rsidR="00AE2CBB" w:rsidRDefault="00AE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000000000"/>
    <w:charset w:val="4D"/>
    <w:family w:val="swiss"/>
    <w:notTrueType/>
    <w:pitch w:val="variable"/>
    <w:sig w:usb0="A000006F" w:usb1="5000207B" w:usb2="00000000" w:usb3="00000000" w:csb0="000001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7F55E0" w14:textId="77777777" w:rsidR="007225A5" w:rsidRDefault="00FF00D1">
    <w:pPr>
      <w:pBdr>
        <w:top w:val="single" w:sz="1" w:space="4" w:color="CCCCCC"/>
      </w:pBdr>
      <w:jc w:val="center"/>
    </w:pPr>
    <w:proofErr w:type="gramStart"/>
    <w:r>
      <w:rPr>
        <w:color w:val="999999"/>
        <w:sz w:val="16"/>
        <w:szCs w:val="16"/>
      </w:rPr>
      <w:t>GOPA</w:t>
    </w:r>
    <w:r w:rsidR="002B6AA5">
      <w:rPr>
        <w:color w:val="999999"/>
        <w:sz w:val="16"/>
        <w:szCs w:val="16"/>
      </w:rPr>
      <w:t xml:space="preserve">  |</w:t>
    </w:r>
    <w:proofErr w:type="gramEnd"/>
    <w:r w:rsidR="002B6AA5">
      <w:rPr>
        <w:color w:val="999999"/>
        <w:sz w:val="16"/>
        <w:szCs w:val="16"/>
      </w:rPr>
      <w:t xml:space="preserve">  LUPMIS2 Concept </w:t>
    </w:r>
    <w:proofErr w:type="gramStart"/>
    <w:r w:rsidR="002B6AA5">
      <w:rPr>
        <w:color w:val="999999"/>
        <w:sz w:val="16"/>
        <w:szCs w:val="16"/>
      </w:rPr>
      <w:t>Report  |</w:t>
    </w:r>
    <w:proofErr w:type="gramEnd"/>
    <w:r w:rsidR="002B6AA5">
      <w:rPr>
        <w:color w:val="999999"/>
        <w:sz w:val="16"/>
        <w:szCs w:val="16"/>
      </w:rPr>
      <w:t xml:space="preserve">  Page </w:t>
    </w:r>
    <w:r w:rsidR="002B6AA5">
      <w:rPr>
        <w:color w:val="999999"/>
        <w:sz w:val="16"/>
        <w:szCs w:val="16"/>
      </w:rPr>
      <w:fldChar w:fldCharType="begin"/>
    </w:r>
    <w:r w:rsidR="002B6AA5">
      <w:rPr>
        <w:color w:val="999999"/>
        <w:sz w:val="16"/>
        <w:szCs w:val="16"/>
      </w:rPr>
      <w:instrText>PAGE</w:instrText>
    </w:r>
    <w:r w:rsidR="002B6AA5">
      <w:rPr>
        <w:color w:val="999999"/>
        <w:sz w:val="16"/>
        <w:szCs w:val="16"/>
      </w:rPr>
      <w:fldChar w:fldCharType="separate"/>
    </w:r>
    <w:r w:rsidR="00E124F3">
      <w:rPr>
        <w:noProof/>
        <w:color w:val="999999"/>
        <w:sz w:val="16"/>
        <w:szCs w:val="16"/>
      </w:rPr>
      <w:t>2</w:t>
    </w:r>
    <w:r w:rsidR="002B6AA5">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858AA1" w14:textId="77777777" w:rsidR="00AE2CBB" w:rsidRDefault="00AE2CBB">
      <w:r>
        <w:separator/>
      </w:r>
    </w:p>
  </w:footnote>
  <w:footnote w:type="continuationSeparator" w:id="0">
    <w:p w14:paraId="2D2B7F7F" w14:textId="77777777" w:rsidR="00AE2CBB" w:rsidRDefault="00AE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9BCA0B" w14:textId="77777777" w:rsidR="00FF00D1" w:rsidRDefault="00FF00D1" w:rsidP="00FF00D1">
    <w:pPr>
      <w:pStyle w:val="Kopfzeile"/>
    </w:pPr>
    <w:r>
      <w:rPr>
        <w:rFonts w:ascii="IBM Plex Sans" w:hAnsi="IBM Plex Sans"/>
        <w:noProof/>
      </w:rPr>
      <w:drawing>
        <wp:anchor distT="0" distB="0" distL="114300" distR="114300" simplePos="0" relativeHeight="251659264" behindDoc="0" locked="0" layoutInCell="1" allowOverlap="1" wp14:anchorId="50EF76EE" wp14:editId="0DB2641A">
          <wp:simplePos x="0" y="0"/>
          <wp:positionH relativeFrom="column">
            <wp:posOffset>-82955</wp:posOffset>
          </wp:positionH>
          <wp:positionV relativeFrom="paragraph">
            <wp:posOffset>182534</wp:posOffset>
          </wp:positionV>
          <wp:extent cx="1247775" cy="554355"/>
          <wp:effectExtent l="0" t="0" r="0" b="4445"/>
          <wp:wrapNone/>
          <wp:docPr id="19210444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44471" name="Grafik 1921044471"/>
                  <pic:cNvPicPr/>
                </pic:nvPicPr>
                <pic:blipFill>
                  <a:blip r:embed="rId1">
                    <a:extLst>
                      <a:ext uri="{28A0092B-C50C-407E-A947-70E740481C1C}">
                        <a14:useLocalDpi xmlns:a14="http://schemas.microsoft.com/office/drawing/2010/main" val="0"/>
                      </a:ext>
                    </a:extLst>
                  </a:blip>
                  <a:stretch>
                    <a:fillRect/>
                  </a:stretch>
                </pic:blipFill>
                <pic:spPr>
                  <a:xfrm>
                    <a:off x="0" y="0"/>
                    <a:ext cx="1247775" cy="554355"/>
                  </a:xfrm>
                  <a:prstGeom prst="rect">
                    <a:avLst/>
                  </a:prstGeom>
                </pic:spPr>
              </pic:pic>
            </a:graphicData>
          </a:graphic>
          <wp14:sizeRelH relativeFrom="margin">
            <wp14:pctWidth>0</wp14:pctWidth>
          </wp14:sizeRelH>
          <wp14:sizeRelV relativeFrom="margin">
            <wp14:pctHeight>0</wp14:pctHeight>
          </wp14:sizeRelV>
        </wp:anchor>
      </w:drawing>
    </w:r>
  </w:p>
  <w:tbl>
    <w:tblPr>
      <w:tblW w:w="7087" w:type="dxa"/>
      <w:tblInd w:w="1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2976"/>
    </w:tblGrid>
    <w:tr w:rsidR="00FF00D1" w14:paraId="2A20D306" w14:textId="77777777" w:rsidTr="009A2347">
      <w:tc>
        <w:tcPr>
          <w:tcW w:w="4111" w:type="dxa"/>
        </w:tcPr>
        <w:p w14:paraId="69A2E7D4" w14:textId="77777777" w:rsidR="00FF00D1" w:rsidRDefault="00FF00D1" w:rsidP="00FF00D1">
          <w:r>
            <w:fldChar w:fldCharType="begin"/>
          </w:r>
          <w:r>
            <w:instrText xml:space="preserve"> SUBJECT  \* MERGEFORMAT </w:instrText>
          </w:r>
          <w:r>
            <w:fldChar w:fldCharType="end"/>
          </w:r>
        </w:p>
      </w:tc>
      <w:tc>
        <w:tcPr>
          <w:tcW w:w="2976" w:type="dxa"/>
        </w:tcPr>
        <w:p w14:paraId="29A49625" w14:textId="77777777" w:rsidR="00FF00D1" w:rsidRDefault="00FF00D1" w:rsidP="00FF00D1">
          <w:pPr>
            <w:tabs>
              <w:tab w:val="left" w:pos="1135"/>
            </w:tabs>
            <w:spacing w:before="40"/>
            <w:ind w:right="68"/>
          </w:pPr>
          <w:r>
            <w:t xml:space="preserve">  Version:           &lt;1.0&gt;</w:t>
          </w:r>
        </w:p>
      </w:tc>
    </w:tr>
    <w:tr w:rsidR="00FF00D1" w14:paraId="6F494568" w14:textId="77777777" w:rsidTr="009A2347">
      <w:tc>
        <w:tcPr>
          <w:tcW w:w="4111" w:type="dxa"/>
        </w:tcPr>
        <w:p w14:paraId="484C4EE4" w14:textId="77777777" w:rsidR="00FF00D1" w:rsidRPr="00FF00D1" w:rsidRDefault="00FF00D1" w:rsidP="00FF00D1">
          <w:pPr>
            <w:rPr>
              <w:sz w:val="20"/>
              <w:szCs w:val="20"/>
            </w:rPr>
          </w:pPr>
          <w:r w:rsidRPr="00FF00D1">
            <w:rPr>
              <w:i/>
              <w:iCs/>
              <w:color w:val="999999"/>
              <w:sz w:val="20"/>
              <w:szCs w:val="20"/>
            </w:rPr>
            <w:t>LUPMIS2 GIS Analytical Tools — Concept Note</w:t>
          </w:r>
        </w:p>
        <w:p w14:paraId="327B6622" w14:textId="77777777" w:rsidR="00FF00D1" w:rsidRDefault="00FF00D1" w:rsidP="00FF00D1"/>
      </w:tc>
      <w:tc>
        <w:tcPr>
          <w:tcW w:w="2976" w:type="dxa"/>
        </w:tcPr>
        <w:p w14:paraId="4309F002" w14:textId="77777777" w:rsidR="00FF00D1" w:rsidRDefault="00FF00D1" w:rsidP="00FF00D1"/>
      </w:tc>
    </w:tr>
  </w:tbl>
  <w:p w14:paraId="68F887F6" w14:textId="77777777" w:rsidR="007225A5" w:rsidRDefault="007225A5" w:rsidP="00FF00D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D14E62"/>
    <w:multiLevelType w:val="hybridMultilevel"/>
    <w:tmpl w:val="75CE0176"/>
    <w:lvl w:ilvl="0" w:tplc="8F1A652A">
      <w:start w:val="1"/>
      <w:numFmt w:val="bullet"/>
      <w:lvlText w:val="•"/>
      <w:lvlJc w:val="left"/>
      <w:pPr>
        <w:ind w:left="720" w:hanging="360"/>
      </w:pPr>
    </w:lvl>
    <w:lvl w:ilvl="1" w:tplc="8B8ACFE2">
      <w:numFmt w:val="decimal"/>
      <w:lvlText w:val=""/>
      <w:lvlJc w:val="left"/>
    </w:lvl>
    <w:lvl w:ilvl="2" w:tplc="D1D6877E">
      <w:numFmt w:val="decimal"/>
      <w:lvlText w:val=""/>
      <w:lvlJc w:val="left"/>
    </w:lvl>
    <w:lvl w:ilvl="3" w:tplc="5044C660">
      <w:numFmt w:val="decimal"/>
      <w:lvlText w:val=""/>
      <w:lvlJc w:val="left"/>
    </w:lvl>
    <w:lvl w:ilvl="4" w:tplc="E058533C">
      <w:numFmt w:val="decimal"/>
      <w:lvlText w:val=""/>
      <w:lvlJc w:val="left"/>
    </w:lvl>
    <w:lvl w:ilvl="5" w:tplc="A014B8E6">
      <w:numFmt w:val="decimal"/>
      <w:lvlText w:val=""/>
      <w:lvlJc w:val="left"/>
    </w:lvl>
    <w:lvl w:ilvl="6" w:tplc="F3C2F5A8">
      <w:numFmt w:val="decimal"/>
      <w:lvlText w:val=""/>
      <w:lvlJc w:val="left"/>
    </w:lvl>
    <w:lvl w:ilvl="7" w:tplc="CCCEA62E">
      <w:numFmt w:val="decimal"/>
      <w:lvlText w:val=""/>
      <w:lvlJc w:val="left"/>
    </w:lvl>
    <w:lvl w:ilvl="8" w:tplc="CFA44C4E">
      <w:numFmt w:val="decimal"/>
      <w:lvlText w:val=""/>
      <w:lvlJc w:val="left"/>
    </w:lvl>
  </w:abstractNum>
  <w:abstractNum w:abstractNumId="1" w15:restartNumberingAfterBreak="0">
    <w:nsid w:val="2E622A17"/>
    <w:multiLevelType w:val="hybridMultilevel"/>
    <w:tmpl w:val="CFB85480"/>
    <w:lvl w:ilvl="0" w:tplc="101E9D50">
      <w:start w:val="1"/>
      <w:numFmt w:val="bullet"/>
      <w:lvlText w:val="•"/>
      <w:lvlJc w:val="left"/>
      <w:pPr>
        <w:ind w:left="720" w:hanging="360"/>
      </w:pPr>
    </w:lvl>
    <w:lvl w:ilvl="1" w:tplc="A43AEC48">
      <w:numFmt w:val="decimal"/>
      <w:lvlText w:val=""/>
      <w:lvlJc w:val="left"/>
    </w:lvl>
    <w:lvl w:ilvl="2" w:tplc="040C8C88">
      <w:numFmt w:val="decimal"/>
      <w:lvlText w:val=""/>
      <w:lvlJc w:val="left"/>
    </w:lvl>
    <w:lvl w:ilvl="3" w:tplc="B270097C">
      <w:numFmt w:val="decimal"/>
      <w:lvlText w:val=""/>
      <w:lvlJc w:val="left"/>
    </w:lvl>
    <w:lvl w:ilvl="4" w:tplc="241CC0E8">
      <w:numFmt w:val="decimal"/>
      <w:lvlText w:val=""/>
      <w:lvlJc w:val="left"/>
    </w:lvl>
    <w:lvl w:ilvl="5" w:tplc="39061F8A">
      <w:numFmt w:val="decimal"/>
      <w:lvlText w:val=""/>
      <w:lvlJc w:val="left"/>
    </w:lvl>
    <w:lvl w:ilvl="6" w:tplc="5E568876">
      <w:numFmt w:val="decimal"/>
      <w:lvlText w:val=""/>
      <w:lvlJc w:val="left"/>
    </w:lvl>
    <w:lvl w:ilvl="7" w:tplc="C1CE8022">
      <w:numFmt w:val="decimal"/>
      <w:lvlText w:val=""/>
      <w:lvlJc w:val="left"/>
    </w:lvl>
    <w:lvl w:ilvl="8" w:tplc="358A7FE4">
      <w:numFmt w:val="decimal"/>
      <w:lvlText w:val=""/>
      <w:lvlJc w:val="left"/>
    </w:lvl>
  </w:abstractNum>
  <w:abstractNum w:abstractNumId="2" w15:restartNumberingAfterBreak="0">
    <w:nsid w:val="453F4DBC"/>
    <w:multiLevelType w:val="hybridMultilevel"/>
    <w:tmpl w:val="C7ACC4D4"/>
    <w:lvl w:ilvl="0" w:tplc="A26A4618">
      <w:start w:val="1"/>
      <w:numFmt w:val="bullet"/>
      <w:lvlText w:val="•"/>
      <w:lvlJc w:val="left"/>
      <w:pPr>
        <w:ind w:left="720" w:hanging="360"/>
      </w:pPr>
    </w:lvl>
    <w:lvl w:ilvl="1" w:tplc="6C741206">
      <w:numFmt w:val="decimal"/>
      <w:lvlText w:val=""/>
      <w:lvlJc w:val="left"/>
    </w:lvl>
    <w:lvl w:ilvl="2" w:tplc="DC5416AC">
      <w:numFmt w:val="decimal"/>
      <w:lvlText w:val=""/>
      <w:lvlJc w:val="left"/>
    </w:lvl>
    <w:lvl w:ilvl="3" w:tplc="2F3EDA46">
      <w:numFmt w:val="decimal"/>
      <w:lvlText w:val=""/>
      <w:lvlJc w:val="left"/>
    </w:lvl>
    <w:lvl w:ilvl="4" w:tplc="373E9FFC">
      <w:numFmt w:val="decimal"/>
      <w:lvlText w:val=""/>
      <w:lvlJc w:val="left"/>
    </w:lvl>
    <w:lvl w:ilvl="5" w:tplc="382C506C">
      <w:numFmt w:val="decimal"/>
      <w:lvlText w:val=""/>
      <w:lvlJc w:val="left"/>
    </w:lvl>
    <w:lvl w:ilvl="6" w:tplc="C7B0219C">
      <w:numFmt w:val="decimal"/>
      <w:lvlText w:val=""/>
      <w:lvlJc w:val="left"/>
    </w:lvl>
    <w:lvl w:ilvl="7" w:tplc="AC384D0A">
      <w:numFmt w:val="decimal"/>
      <w:lvlText w:val=""/>
      <w:lvlJc w:val="left"/>
    </w:lvl>
    <w:lvl w:ilvl="8" w:tplc="CB24CAD4">
      <w:numFmt w:val="decimal"/>
      <w:lvlText w:val=""/>
      <w:lvlJc w:val="left"/>
    </w:lvl>
  </w:abstractNum>
  <w:abstractNum w:abstractNumId="3" w15:restartNumberingAfterBreak="0">
    <w:nsid w:val="64C77784"/>
    <w:multiLevelType w:val="hybridMultilevel"/>
    <w:tmpl w:val="BBC28EB8"/>
    <w:lvl w:ilvl="0" w:tplc="C2D60420">
      <w:start w:val="1"/>
      <w:numFmt w:val="bullet"/>
      <w:lvlText w:val="●"/>
      <w:lvlJc w:val="left"/>
      <w:pPr>
        <w:ind w:left="720" w:hanging="360"/>
      </w:pPr>
    </w:lvl>
    <w:lvl w:ilvl="1" w:tplc="95FEDDB8">
      <w:start w:val="1"/>
      <w:numFmt w:val="bullet"/>
      <w:lvlText w:val="○"/>
      <w:lvlJc w:val="left"/>
      <w:pPr>
        <w:ind w:left="1440" w:hanging="360"/>
      </w:pPr>
    </w:lvl>
    <w:lvl w:ilvl="2" w:tplc="6F268602">
      <w:start w:val="1"/>
      <w:numFmt w:val="bullet"/>
      <w:lvlText w:val="■"/>
      <w:lvlJc w:val="left"/>
      <w:pPr>
        <w:ind w:left="2160" w:hanging="360"/>
      </w:pPr>
    </w:lvl>
    <w:lvl w:ilvl="3" w:tplc="6E2AB020">
      <w:start w:val="1"/>
      <w:numFmt w:val="bullet"/>
      <w:lvlText w:val="●"/>
      <w:lvlJc w:val="left"/>
      <w:pPr>
        <w:ind w:left="2880" w:hanging="360"/>
      </w:pPr>
    </w:lvl>
    <w:lvl w:ilvl="4" w:tplc="71F66538">
      <w:start w:val="1"/>
      <w:numFmt w:val="bullet"/>
      <w:lvlText w:val="○"/>
      <w:lvlJc w:val="left"/>
      <w:pPr>
        <w:ind w:left="3600" w:hanging="360"/>
      </w:pPr>
    </w:lvl>
    <w:lvl w:ilvl="5" w:tplc="6E48485E">
      <w:start w:val="1"/>
      <w:numFmt w:val="bullet"/>
      <w:lvlText w:val="■"/>
      <w:lvlJc w:val="left"/>
      <w:pPr>
        <w:ind w:left="4320" w:hanging="360"/>
      </w:pPr>
    </w:lvl>
    <w:lvl w:ilvl="6" w:tplc="CE96DC80">
      <w:start w:val="1"/>
      <w:numFmt w:val="bullet"/>
      <w:lvlText w:val="●"/>
      <w:lvlJc w:val="left"/>
      <w:pPr>
        <w:ind w:left="5040" w:hanging="360"/>
      </w:pPr>
    </w:lvl>
    <w:lvl w:ilvl="7" w:tplc="B9CECC7A">
      <w:start w:val="1"/>
      <w:numFmt w:val="bullet"/>
      <w:lvlText w:val="●"/>
      <w:lvlJc w:val="left"/>
      <w:pPr>
        <w:ind w:left="5760" w:hanging="360"/>
      </w:pPr>
    </w:lvl>
    <w:lvl w:ilvl="8" w:tplc="1134570A">
      <w:start w:val="1"/>
      <w:numFmt w:val="bullet"/>
      <w:lvlText w:val="●"/>
      <w:lvlJc w:val="left"/>
      <w:pPr>
        <w:ind w:left="6480" w:hanging="360"/>
      </w:pPr>
    </w:lvl>
  </w:abstractNum>
  <w:abstractNum w:abstractNumId="4" w15:restartNumberingAfterBreak="0">
    <w:nsid w:val="67D46B26"/>
    <w:multiLevelType w:val="hybridMultilevel"/>
    <w:tmpl w:val="A2CC07CC"/>
    <w:lvl w:ilvl="0" w:tplc="72CA0E8E">
      <w:start w:val="1"/>
      <w:numFmt w:val="bullet"/>
      <w:lvlText w:val="•"/>
      <w:lvlJc w:val="left"/>
      <w:pPr>
        <w:ind w:left="720" w:hanging="360"/>
      </w:pPr>
    </w:lvl>
    <w:lvl w:ilvl="1" w:tplc="C10215A8">
      <w:numFmt w:val="decimal"/>
      <w:lvlText w:val=""/>
      <w:lvlJc w:val="left"/>
    </w:lvl>
    <w:lvl w:ilvl="2" w:tplc="31469E24">
      <w:numFmt w:val="decimal"/>
      <w:lvlText w:val=""/>
      <w:lvlJc w:val="left"/>
    </w:lvl>
    <w:lvl w:ilvl="3" w:tplc="4F7EE41A">
      <w:numFmt w:val="decimal"/>
      <w:lvlText w:val=""/>
      <w:lvlJc w:val="left"/>
    </w:lvl>
    <w:lvl w:ilvl="4" w:tplc="52C25704">
      <w:numFmt w:val="decimal"/>
      <w:lvlText w:val=""/>
      <w:lvlJc w:val="left"/>
    </w:lvl>
    <w:lvl w:ilvl="5" w:tplc="B9DA91CE">
      <w:numFmt w:val="decimal"/>
      <w:lvlText w:val=""/>
      <w:lvlJc w:val="left"/>
    </w:lvl>
    <w:lvl w:ilvl="6" w:tplc="16DC6126">
      <w:numFmt w:val="decimal"/>
      <w:lvlText w:val=""/>
      <w:lvlJc w:val="left"/>
    </w:lvl>
    <w:lvl w:ilvl="7" w:tplc="5C6CFF0A">
      <w:numFmt w:val="decimal"/>
      <w:lvlText w:val=""/>
      <w:lvlJc w:val="left"/>
    </w:lvl>
    <w:lvl w:ilvl="8" w:tplc="BB762600">
      <w:numFmt w:val="decimal"/>
      <w:lvlText w:val=""/>
      <w:lvlJc w:val="left"/>
    </w:lvl>
  </w:abstractNum>
  <w:abstractNum w:abstractNumId="5" w15:restartNumberingAfterBreak="0">
    <w:nsid w:val="6E2C704A"/>
    <w:multiLevelType w:val="hybridMultilevel"/>
    <w:tmpl w:val="09904268"/>
    <w:lvl w:ilvl="0" w:tplc="08002240">
      <w:start w:val="1"/>
      <w:numFmt w:val="bullet"/>
      <w:lvlText w:val="•"/>
      <w:lvlJc w:val="left"/>
      <w:pPr>
        <w:ind w:left="720" w:hanging="360"/>
      </w:pPr>
    </w:lvl>
    <w:lvl w:ilvl="1" w:tplc="51405A52">
      <w:numFmt w:val="decimal"/>
      <w:lvlText w:val=""/>
      <w:lvlJc w:val="left"/>
    </w:lvl>
    <w:lvl w:ilvl="2" w:tplc="923A24CA">
      <w:numFmt w:val="decimal"/>
      <w:lvlText w:val=""/>
      <w:lvlJc w:val="left"/>
    </w:lvl>
    <w:lvl w:ilvl="3" w:tplc="CF08FE5E">
      <w:numFmt w:val="decimal"/>
      <w:lvlText w:val=""/>
      <w:lvlJc w:val="left"/>
    </w:lvl>
    <w:lvl w:ilvl="4" w:tplc="0792B0EA">
      <w:numFmt w:val="decimal"/>
      <w:lvlText w:val=""/>
      <w:lvlJc w:val="left"/>
    </w:lvl>
    <w:lvl w:ilvl="5" w:tplc="8E166892">
      <w:numFmt w:val="decimal"/>
      <w:lvlText w:val=""/>
      <w:lvlJc w:val="left"/>
    </w:lvl>
    <w:lvl w:ilvl="6" w:tplc="3904D9F4">
      <w:numFmt w:val="decimal"/>
      <w:lvlText w:val=""/>
      <w:lvlJc w:val="left"/>
    </w:lvl>
    <w:lvl w:ilvl="7" w:tplc="0C40744E">
      <w:numFmt w:val="decimal"/>
      <w:lvlText w:val=""/>
      <w:lvlJc w:val="left"/>
    </w:lvl>
    <w:lvl w:ilvl="8" w:tplc="69CE74E2">
      <w:numFmt w:val="decimal"/>
      <w:lvlText w:val=""/>
      <w:lvlJc w:val="left"/>
    </w:lvl>
  </w:abstractNum>
  <w:abstractNum w:abstractNumId="6" w15:restartNumberingAfterBreak="0">
    <w:nsid w:val="7BCB6157"/>
    <w:multiLevelType w:val="hybridMultilevel"/>
    <w:tmpl w:val="36025970"/>
    <w:lvl w:ilvl="0" w:tplc="7A4E9CE0">
      <w:start w:val="1"/>
      <w:numFmt w:val="bullet"/>
      <w:lvlText w:val="•"/>
      <w:lvlJc w:val="left"/>
      <w:pPr>
        <w:ind w:left="720" w:hanging="360"/>
      </w:pPr>
    </w:lvl>
    <w:lvl w:ilvl="1" w:tplc="E2709336">
      <w:numFmt w:val="decimal"/>
      <w:lvlText w:val=""/>
      <w:lvlJc w:val="left"/>
    </w:lvl>
    <w:lvl w:ilvl="2" w:tplc="2B6E6200">
      <w:numFmt w:val="decimal"/>
      <w:lvlText w:val=""/>
      <w:lvlJc w:val="left"/>
    </w:lvl>
    <w:lvl w:ilvl="3" w:tplc="F52644B4">
      <w:numFmt w:val="decimal"/>
      <w:lvlText w:val=""/>
      <w:lvlJc w:val="left"/>
    </w:lvl>
    <w:lvl w:ilvl="4" w:tplc="007E4902">
      <w:numFmt w:val="decimal"/>
      <w:lvlText w:val=""/>
      <w:lvlJc w:val="left"/>
    </w:lvl>
    <w:lvl w:ilvl="5" w:tplc="4A065B6C">
      <w:numFmt w:val="decimal"/>
      <w:lvlText w:val=""/>
      <w:lvlJc w:val="left"/>
    </w:lvl>
    <w:lvl w:ilvl="6" w:tplc="D1949016">
      <w:numFmt w:val="decimal"/>
      <w:lvlText w:val=""/>
      <w:lvlJc w:val="left"/>
    </w:lvl>
    <w:lvl w:ilvl="7" w:tplc="2D2068FE">
      <w:numFmt w:val="decimal"/>
      <w:lvlText w:val=""/>
      <w:lvlJc w:val="left"/>
    </w:lvl>
    <w:lvl w:ilvl="8" w:tplc="345027CE">
      <w:numFmt w:val="decimal"/>
      <w:lvlText w:val=""/>
      <w:lvlJc w:val="left"/>
    </w:lvl>
  </w:abstractNum>
  <w:num w:numId="1" w16cid:durableId="1472747989">
    <w:abstractNumId w:val="3"/>
    <w:lvlOverride w:ilvl="0">
      <w:startOverride w:val="1"/>
    </w:lvlOverride>
  </w:num>
  <w:num w:numId="2" w16cid:durableId="197932685">
    <w:abstractNumId w:val="5"/>
    <w:lvlOverride w:ilvl="0">
      <w:startOverride w:val="1"/>
    </w:lvlOverride>
  </w:num>
  <w:num w:numId="3" w16cid:durableId="758254462">
    <w:abstractNumId w:val="2"/>
    <w:lvlOverride w:ilvl="0">
      <w:startOverride w:val="1"/>
    </w:lvlOverride>
  </w:num>
  <w:num w:numId="4" w16cid:durableId="624507334">
    <w:abstractNumId w:val="6"/>
    <w:lvlOverride w:ilvl="0">
      <w:startOverride w:val="1"/>
    </w:lvlOverride>
  </w:num>
  <w:num w:numId="5" w16cid:durableId="1079716947">
    <w:abstractNumId w:val="0"/>
    <w:lvlOverride w:ilvl="0">
      <w:startOverride w:val="1"/>
    </w:lvlOverride>
  </w:num>
  <w:num w:numId="6" w16cid:durableId="71393775">
    <w:abstractNumId w:val="4"/>
    <w:lvlOverride w:ilvl="0">
      <w:startOverride w:val="1"/>
    </w:lvlOverride>
  </w:num>
  <w:num w:numId="7" w16cid:durableId="7343286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9"/>
  <w:displayBackgroundShape/>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A5"/>
    <w:rsid w:val="00064D22"/>
    <w:rsid w:val="001D5305"/>
    <w:rsid w:val="002B6AA5"/>
    <w:rsid w:val="002C33F2"/>
    <w:rsid w:val="002E7223"/>
    <w:rsid w:val="0032655B"/>
    <w:rsid w:val="003E024E"/>
    <w:rsid w:val="00474BB0"/>
    <w:rsid w:val="004F4959"/>
    <w:rsid w:val="005960E2"/>
    <w:rsid w:val="00686FA7"/>
    <w:rsid w:val="007225A5"/>
    <w:rsid w:val="00763ECD"/>
    <w:rsid w:val="007F5C09"/>
    <w:rsid w:val="008A700E"/>
    <w:rsid w:val="00922807"/>
    <w:rsid w:val="009242BA"/>
    <w:rsid w:val="009C3CE7"/>
    <w:rsid w:val="00AE2CBB"/>
    <w:rsid w:val="00BB41CB"/>
    <w:rsid w:val="00D5357A"/>
    <w:rsid w:val="00D55BC6"/>
    <w:rsid w:val="00E124F3"/>
    <w:rsid w:val="00F747BC"/>
    <w:rsid w:val="00FF0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D5F7"/>
  <w15:docId w15:val="{AE0649B0-6F5E-D14C-B800-24698CE6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00D1"/>
  </w:style>
  <w:style w:type="paragraph" w:styleId="berschrift1">
    <w:name w:val="heading 1"/>
    <w:uiPriority w:val="9"/>
    <w:qFormat/>
    <w:pPr>
      <w:spacing w:before="360" w:after="160"/>
      <w:outlineLvl w:val="0"/>
    </w:pPr>
    <w:rPr>
      <w:b/>
      <w:bCs/>
      <w:color w:val="1E1A4B"/>
      <w:sz w:val="32"/>
      <w:szCs w:val="32"/>
    </w:rPr>
  </w:style>
  <w:style w:type="paragraph" w:styleId="berschrift2">
    <w:name w:val="heading 2"/>
    <w:uiPriority w:val="9"/>
    <w:unhideWhenUsed/>
    <w:qFormat/>
    <w:pPr>
      <w:spacing w:before="240" w:after="120"/>
      <w:outlineLvl w:val="1"/>
    </w:pPr>
    <w:rPr>
      <w:b/>
      <w:bCs/>
      <w:color w:val="1E1A4B"/>
      <w:sz w:val="26"/>
      <w:szCs w:val="26"/>
    </w:rPr>
  </w:style>
  <w:style w:type="paragraph" w:styleId="berschrift3">
    <w:name w:val="heading 3"/>
    <w:uiPriority w:val="9"/>
    <w:unhideWhenUsed/>
    <w:qFormat/>
    <w:rsid w:val="00763ECD"/>
    <w:pPr>
      <w:spacing w:after="240"/>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customStyle="1" w:styleId="Style">
    <w:name w:val="Style"/>
    <w:rsid w:val="00FF00D1"/>
    <w:pPr>
      <w:widowControl w:val="0"/>
      <w:autoSpaceDE w:val="0"/>
      <w:autoSpaceDN w:val="0"/>
      <w:adjustRightInd w:val="0"/>
    </w:pPr>
    <w:rPr>
      <w:rFonts w:ascii="Times New Roman" w:eastAsiaTheme="minorEastAsia" w:hAnsi="Times New Roman" w:cs="Times New Roman"/>
      <w:sz w:val="24"/>
      <w:szCs w:val="24"/>
      <w:lang w:val="en-US" w:eastAsia="zh-CN"/>
    </w:rPr>
  </w:style>
  <w:style w:type="paragraph" w:styleId="Kopfzeile">
    <w:name w:val="header"/>
    <w:basedOn w:val="Standard"/>
    <w:link w:val="KopfzeileZchn"/>
    <w:uiPriority w:val="99"/>
    <w:unhideWhenUsed/>
    <w:rsid w:val="00FF00D1"/>
    <w:pPr>
      <w:tabs>
        <w:tab w:val="center" w:pos="4536"/>
        <w:tab w:val="right" w:pos="9072"/>
      </w:tabs>
    </w:pPr>
  </w:style>
  <w:style w:type="character" w:customStyle="1" w:styleId="KopfzeileZchn">
    <w:name w:val="Kopfzeile Zchn"/>
    <w:basedOn w:val="Absatz-Standardschriftart"/>
    <w:link w:val="Kopfzeile"/>
    <w:uiPriority w:val="99"/>
    <w:rsid w:val="00FF00D1"/>
  </w:style>
  <w:style w:type="paragraph" w:styleId="Fuzeile">
    <w:name w:val="footer"/>
    <w:basedOn w:val="Standard"/>
    <w:link w:val="FuzeileZchn"/>
    <w:uiPriority w:val="99"/>
    <w:unhideWhenUsed/>
    <w:rsid w:val="00FF00D1"/>
    <w:pPr>
      <w:tabs>
        <w:tab w:val="center" w:pos="4536"/>
        <w:tab w:val="right" w:pos="9072"/>
      </w:tabs>
    </w:pPr>
  </w:style>
  <w:style w:type="character" w:customStyle="1" w:styleId="FuzeileZchn">
    <w:name w:val="Fußzeile Zchn"/>
    <w:basedOn w:val="Absatz-Standardschriftart"/>
    <w:link w:val="Fuzeile"/>
    <w:uiPriority w:val="99"/>
    <w:rsid w:val="00FF00D1"/>
  </w:style>
  <w:style w:type="character" w:styleId="BesuchterLink">
    <w:name w:val="FollowedHyperlink"/>
    <w:basedOn w:val="Absatz-Standardschriftart"/>
    <w:uiPriority w:val="99"/>
    <w:semiHidden/>
    <w:unhideWhenUsed/>
    <w:rsid w:val="00763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wa.lupmis4luspa.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pmis.ammonvict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wa.lupmis4luspa.org" TargetMode="External"/><Relationship Id="rId4" Type="http://schemas.openxmlformats.org/officeDocument/2006/relationships/webSettings" Target="webSettings.xml"/><Relationship Id="rId9" Type="http://schemas.openxmlformats.org/officeDocument/2006/relationships/hyperlink" Target="https://lupmis.ammonvictor.com" TargetMode="External"/><Relationship Id="rId14" Type="http://schemas.openxmlformats.org/officeDocument/2006/relationships/footer" Target="footer1.xml"/><Relationship Id="rId17"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9419</Words>
  <Characters>61321</Characters>
  <Application>Microsoft Office Word</Application>
  <DocSecurity>0</DocSecurity>
  <Lines>1657</Lines>
  <Paragraphs>1645</Paragraphs>
  <ScaleCrop>false</ScaleCrop>
  <HeadingPairs>
    <vt:vector size="4" baseType="variant">
      <vt:variant>
        <vt:lpstr>Titel</vt:lpstr>
      </vt:variant>
      <vt:variant>
        <vt:i4>1</vt:i4>
      </vt:variant>
      <vt:variant>
        <vt:lpstr>Überschriften</vt:lpstr>
      </vt:variant>
      <vt:variant>
        <vt:i4>17</vt:i4>
      </vt:variant>
    </vt:vector>
  </HeadingPairs>
  <TitlesOfParts>
    <vt:vector size="18" baseType="lpstr">
      <vt:lpstr/>
      <vt:lpstr>1. Executive Summary</vt:lpstr>
      <vt:lpstr>2. Project Background</vt:lpstr>
      <vt:lpstr>3. Current Development Status</vt:lpstr>
      <vt:lpstr>4. Comparison with Functional Specifications</vt:lpstr>
      <vt:lpstr>5. Design &amp; Brand Compliance</vt:lpstr>
      <vt:lpstr>6. Stakeholder Engagement Summary</vt:lpstr>
      <vt:lpstr>    Key Findings</vt:lpstr>
      <vt:lpstr>    Integration Priorities</vt:lpstr>
      <vt:lpstr>7. Pilot District Workshop Feedback</vt:lpstr>
      <vt:lpstr>    Public Portal</vt:lpstr>
      <vt:lpstr>    District Backend</vt:lpstr>
      <vt:lpstr>    Drawing and Measurement Tools</vt:lpstr>
      <vt:lpstr>    Parcel Generator</vt:lpstr>
      <vt:lpstr>8. Technical Architecture Overview</vt:lpstr>
      <vt:lpstr>9. Deployment &amp; Access</vt:lpstr>
      <vt:lpstr>10. Upcoming Work &amp; Recommendations</vt:lpstr>
      <vt:lpstr>11. Conclusion</vt:lpstr>
    </vt:vector>
  </TitlesOfParts>
  <Company/>
  <LinksUpToDate>false</LinksUpToDate>
  <CharactersWithSpaces>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Ekkehardt Roth</cp:lastModifiedBy>
  <cp:revision>12</cp:revision>
  <dcterms:created xsi:type="dcterms:W3CDTF">2026-04-28T08:03:00Z</dcterms:created>
  <dcterms:modified xsi:type="dcterms:W3CDTF">2026-06-29T14:10:00Z</dcterms:modified>
</cp:coreProperties>
</file>