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pStyle w:val="berschrift1"/>
        <w:keepNext/>
      </w:pPr>
      <w:r>
        <w:t>ECMWF open data — can we use it for the analysis?</w:t>
      </w:r>
    </w:p>
    <w:p>
      <w:pPr>
        <w:spacing w:after="140"/>
      </w:pPr>
      <w:r>
        <w:rPr>
          <w:rFonts w:ascii="Calibri" w:hAnsi="Calibri"/>
          <w:b w:val="0"/>
          <w:color w:val="6B7280"/>
          <w:sz w:val="19"/>
        </w:rPr>
        <w:t xml:space="preserve">The </w:t>
      </w:r>
      <w:r>
        <w:rPr>
          <w:rFonts w:ascii="Consolas" w:hAnsi="Consolas" w:cs="Consolas"/>
          <w:b w:val="0"/>
          <w:color w:val="1E1A4B"/>
          <w:sz w:val="17"/>
        </w:rPr>
        <w:t xml:space="preserve">ecmwf-opendata</w:t>
      </w:r>
      <w:r>
        <w:rPr>
          <w:rFonts w:ascii="Calibri" w:hAnsi="Calibri"/>
          <w:b w:val="0"/>
          <w:color w:val="6B7280"/>
          <w:sz w:val="19"/>
        </w:rPr>
        <w:t xml:space="preserve"> package and the ECMWF real-time open dataset, against what LUPMIS2's Analyse tools actually do  ·  October 2026</w:t>
      </w:r>
    </w:p>
    <w:p>
      <w:pPr>
        <w:spacing w:after="120"/>
      </w:pPr>
      <w:r>
        <w:rPr>
          <w:rFonts w:ascii="Calibri" w:hAnsi="Calibri"/>
          <w:b/>
          <w:color w:val="333333"/>
          <w:sz w:val="21"/>
        </w:rPr>
        <w:t xml:space="preserve">The short answer.</w:t>
      </w:r>
      <w:r>
        <w:rPr>
          <w:rFonts w:ascii="Calibri" w:hAnsi="Calibri"/>
          <w:b w:val="0"/>
          <w:color w:val="333333"/>
          <w:sz w:val="21"/>
        </w:rPr>
        <w:t xml:space="preserve"> The data is genuinely open, free and reachable from a dozen lines of Python — no account, no key, no cost. But it is a </w:t>
      </w:r>
      <w:r>
        <w:rPr>
          <w:rFonts w:ascii="Calibri" w:hAnsi="Calibri"/>
          <w:b/>
          <w:color w:val="333333"/>
          <w:sz w:val="21"/>
        </w:rPr>
        <w:t xml:space="preserve">weather forecast on a 0.25° grid</w:t>
      </w:r>
      <w:r>
        <w:rPr>
          <w:rFonts w:ascii="Calibri" w:hAnsi="Calibri"/>
          <w:b w:val="0"/>
          <w:color w:val="333333"/>
          <w:sz w:val="21"/>
        </w:rPr>
        <w:t xml:space="preserve">, and one cell of that grid is larger than a Ghanaian district. It cannot support analysis at parcel or zone level, which is the only kind LUPMIS2 does. It can support something else worth having — a district-level forecast overlay — and that is two days' work.</w:t>
      </w:r>
    </w:p>
    <w:p>
      <w:pPr>
        <w:keepNext/>
        <w:spacing w:before="160" w:after="40"/>
        <w:jc w:val="center"/>
      </w:pPr>
      <w:r>
        <w:drawing>
          <wp:inline xmlns:a="http://schemas.openxmlformats.org/drawingml/2006/main" xmlns:pic="http://schemas.openxmlformats.org/drawingml/2006/picture">
            <wp:extent cx="4464000" cy="19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cmwf-scale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464000" cy="19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Calibri" w:hAnsi="Calibri"/>
          <w:i/>
          <w:color w:val="6B7280"/>
          <w:sz w:val="18"/>
        </w:rPr>
        <w:t>Measured against the real boundary: Sagnarigu Municipal touches three cells, two of which hold 89 % of it.</w:t>
      </w:r>
    </w:p>
    <w:tbl>
      <w:tblPr>
        <w:tblW w:type="dxa" w:w="9026"/>
        <w:tblLayout w:type="fixed"/>
        <w:tblBorders>
          <w:top w:val="single" w:sz="4" w:space="0" w:color="D9D9E3"/>
          <w:left w:val="single" w:sz="4" w:space="0" w:color="D9D9E3"/>
          <w:bottom w:val="single" w:sz="4" w:space="0" w:color="D9D9E3"/>
          <w:right w:val="single" w:sz="4" w:space="0" w:color="D9D9E3"/>
          <w:insideH w:val="single" w:sz="4" w:space="0" w:color="D9D9E3"/>
          <w:insideV w:val="single" w:sz="4" w:space="0" w:color="D9D9E3"/>
        </w:tblBorders>
      </w:tblPr>
      <w:tblGrid>
        <w:gridCol w:w="1400"/>
        <w:gridCol w:w="3300"/>
        <w:gridCol w:w="4326"/>
      </w:tblGrid>
      <w:tr>
        <w:trPr>
          <w:tblHeader/>
          <w:cantSplit/>
        </w:trPr>
        <w:tc>
          <w:tcPr>
            <w:tcW w:type="dxa" w:w="1400"/>
            <w:shd w:val="clear" w:fill="1E1A4B"/>
          </w:tcPr>
          <w:p>
            <w:pPr>
              <w:spacing w:before="30" w:after="30"/>
            </w:pPr>
          </w:p>
        </w:tc>
        <w:tc>
          <w:tcPr>
            <w:tcW w:type="dxa" w:w="3300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19"/>
              </w:rPr>
              <w:t xml:space="preserve">What the dataset gives</w:t>
            </w:r>
          </w:p>
        </w:tc>
        <w:tc>
          <w:tcPr>
            <w:tcW w:type="dxa" w:w="4326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19"/>
              </w:rPr>
              <w:t xml:space="preserve">Consequence for LUPMIS2</w:t>
            </w:r>
          </w:p>
        </w:tc>
      </w:tr>
      <w:tr>
        <w:trPr>
          <w:cantSplit/>
        </w:trPr>
        <w:tc>
          <w:tcPr>
            <w:tcW w:type="dxa" w:w="14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Resolution</w:t>
            </w:r>
          </w:p>
        </w:tc>
        <w:tc>
          <w:tcPr>
            <w:tcW w:type="dxa" w:w="33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0.25° (~28 km); one cell ≈ 762 km²</w:t>
            </w:r>
          </w:p>
        </w:tc>
        <w:tc>
          <w:tcPr>
            <w:tcW w:type="dxa" w:w="43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A 440 km² district fits in 2–3 cells. No within-district variation exists to analyse.</w:t>
            </w:r>
          </w:p>
        </w:tc>
      </w:tr>
      <w:tr>
        <w:trPr>
          <w:cantSplit/>
        </w:trPr>
        <w:tc>
          <w:tcPr>
            <w:tcW w:type="dxa" w:w="14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Kind of data</w:t>
            </w:r>
          </w:p>
        </w:tc>
        <w:tc>
          <w:tcPr>
            <w:tcW w:type="dxa" w:w="33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Forecast, 0–360 h ahead, four runs a day</w:t>
            </w:r>
          </w:p>
        </w:tc>
        <w:tc>
          <w:tcPr>
            <w:tcW w:type="dxa" w:w="4326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Answers “what will happen next week”, not “what is this land like”. Planning asks the second.</w:t>
            </w:r>
          </w:p>
        </w:tc>
      </w:tr>
      <w:tr>
        <w:trPr>
          <w:cantSplit/>
        </w:trPr>
        <w:tc>
          <w:tcPr>
            <w:tcW w:type="dxa" w:w="14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Retention</w:t>
            </w:r>
          </w:p>
        </w:tc>
        <w:tc>
          <w:tcPr>
            <w:tcW w:type="dxa" w:w="33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Rolling archive of the last 12 runs (2–3 days)</w:t>
            </w:r>
          </w:p>
        </w:tc>
        <w:tc>
          <w:tcPr>
            <w:tcW w:type="dxa" w:w="43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No history can be fetched. A time series exists only if you harvest daily from now on.</w:t>
            </w:r>
          </w:p>
        </w:tc>
      </w:tr>
      <w:tr>
        <w:trPr>
          <w:cantSplit/>
        </w:trPr>
        <w:tc>
          <w:tcPr>
            <w:tcW w:type="dxa" w:w="14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Format</w:t>
            </w:r>
          </w:p>
        </w:tc>
        <w:tc>
          <w:tcPr>
            <w:tcW w:type="dxa" w:w="33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GRIB2, via the </w:t>
            </w:r>
            <w:r>
              <w:rPr>
                <w:rFonts w:ascii="Consolas" w:hAnsi="Consolas" w:cs="Consolas"/>
                <w:b w:val="0"/>
                <w:color w:val="1E1A4B"/>
                <w:sz w:val="17"/>
              </w:rPr>
              <w:t xml:space="preserve">ecmwf-opendata</w:t>
            </w: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 client</w:t>
            </w:r>
          </w:p>
        </w:tc>
        <w:tc>
          <w:tcPr>
            <w:tcW w:type="dxa" w:w="4326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Needs a conversion step; GDAL reads GRIB2, so this is routine.</w:t>
            </w:r>
          </w:p>
        </w:tc>
      </w:tr>
      <w:tr>
        <w:trPr>
          <w:cantSplit/>
        </w:trPr>
        <w:tc>
          <w:tcPr>
            <w:tcW w:type="dxa" w:w="14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Licence</w:t>
            </w:r>
          </w:p>
        </w:tc>
        <w:tc>
          <w:tcPr>
            <w:tcW w:type="dxa" w:w="33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CC-BY-4.0 plus the ECMWF Terms of Use</w:t>
            </w:r>
          </w:p>
        </w:tc>
        <w:tc>
          <w:tcPr>
            <w:tcW w:type="dxa" w:w="43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Usable and redistributable by a government agency; attribution required on the map.</w:t>
            </w:r>
          </w:p>
        </w:tc>
      </w:tr>
    </w:tbl>
    <w:p>
      <w:pPr>
        <w:spacing w:after="60"/>
      </w:pPr>
    </w:p>
    <w:p>
      <w:pPr>
        <w:keepNext/>
        <w:spacing w:before="160" w:after="60"/>
      </w:pPr>
      <w:r>
        <w:rPr>
          <w:rFonts w:ascii="Calibri" w:hAnsi="Calibri"/>
          <w:b/>
          <w:color w:val="1E1A4B"/>
          <w:sz w:val="22"/>
        </w:rPr>
        <w:t xml:space="preserve">What it cannot do here, and what it can</w:t>
      </w:r>
    </w:p>
    <w:p>
      <w:pPr>
        <w:spacing w:after="60"/>
        <w:ind w:left="440" w:hanging="180"/>
      </w:pPr>
      <w:r>
        <w:rPr>
          <w:rFonts w:ascii="Calibri" w:hAnsi="Calibri"/>
          <w:b/>
          <w:color w:val="1E1A4B"/>
          <w:sz w:val="21"/>
        </w:rPr>
        <w:t xml:space="preserve">·</w:t>
        <w:tab/>
      </w:r>
      <w:r>
        <w:rPr>
          <w:rFonts w:ascii="Calibri" w:hAnsi="Calibri"/>
          <w:b/>
          <w:color w:val="333333"/>
          <w:sz w:val="21"/>
        </w:rPr>
        <w:t xml:space="preserve">Not zonal statistics, and not land suitability.</w:t>
      </w:r>
      <w:r>
        <w:rPr>
          <w:rFonts w:ascii="Calibri" w:hAnsi="Calibri"/>
          <w:b w:val="0"/>
          <w:color w:val="333333"/>
          <w:sz w:val="21"/>
        </w:rPr>
        <w:t xml:space="preserve"> LUPMIS2's zonal statistics reads features out of a vector source; a raster cannot be fed into it at all today — and if it could, all 82 collector zones in Sagnarigu would receive one of three numbers. Suitability and constraint mapping need climatology rather than a ten-day forecast: ERA5-Land (~9 km) or CHIRPS rainfall (~5 km), both free, both Python, and ERA5-Land is also ECMWF.</w:t>
      </w:r>
    </w:p>
    <w:p>
      <w:pPr>
        <w:spacing w:after="100"/>
        <w:ind w:left="440" w:hanging="180"/>
      </w:pPr>
      <w:r>
        <w:rPr>
          <w:rFonts w:ascii="Calibri" w:hAnsi="Calibri"/>
          <w:b/>
          <w:color w:val="1E1A4B"/>
          <w:sz w:val="21"/>
        </w:rPr>
        <w:t xml:space="preserve">·</w:t>
        <w:tab/>
      </w:r>
      <w:r>
        <w:rPr>
          <w:rFonts w:ascii="Calibri" w:hAnsi="Calibri"/>
          <w:b/>
          <w:color w:val="333333"/>
          <w:sz w:val="21"/>
        </w:rPr>
        <w:t xml:space="preserve">But a district forecast overlay is real and cheap.</w:t>
      </w:r>
      <w:r>
        <w:rPr>
          <w:rFonts w:ascii="Calibri" w:hAnsi="Calibri"/>
          <w:b w:val="0"/>
          <w:color w:val="333333"/>
          <w:sz w:val="21"/>
        </w:rPr>
        <w:t xml:space="preserve"> Total precipitation and 2 m temperature for the next few days, over Ghana, as a raster layer officers can switch on: operational context for fieldwork planning, honest about its resolution, and it reuses a pipeline LUPMIS2 already has.</w:t>
      </w:r>
    </w:p>
    <w:p>
      <w:pPr>
        <w:pStyle w:val="berschrift1"/>
        <w:keepNext/>
      </w:pPr>
      <w:r>
        <w:t>How it would be done</w:t>
      </w:r>
    </w:p>
    <w:p>
      <w:pPr>
        <w:spacing w:after="120"/>
      </w:pPr>
      <w:r>
        <w:rPr>
          <w:rFonts w:ascii="Calibri" w:hAnsi="Calibri"/>
          <w:b w:val="0"/>
          <w:color w:val="333333"/>
          <w:sz w:val="21"/>
        </w:rPr>
        <w:t xml:space="preserve">Nothing here is new ground. LUPMIS2 already publishes a raster this way — </w:t>
      </w:r>
      <w:r>
        <w:rPr>
          <w:rFonts w:ascii="Consolas" w:hAnsi="Consolas" w:cs="Consolas"/>
          <w:b w:val="0"/>
          <w:color w:val="1E1A4B"/>
          <w:sz w:val="19"/>
        </w:rPr>
        <w:t xml:space="preserve">koforidua_dem.tif</w:t>
      </w:r>
      <w:r>
        <w:rPr>
          <w:rFonts w:ascii="Calibri" w:hAnsi="Calibri"/>
          <w:b w:val="0"/>
          <w:color w:val="333333"/>
          <w:sz w:val="21"/>
        </w:rPr>
        <w:t xml:space="preserve"> sits in the MinIO bucket and is registered as a </w:t>
      </w:r>
      <w:r>
        <w:rPr>
          <w:rFonts w:ascii="Consolas" w:hAnsi="Consolas" w:cs="Consolas"/>
          <w:b w:val="0"/>
          <w:color w:val="1E1A4B"/>
          <w:sz w:val="19"/>
        </w:rPr>
        <w:t xml:space="preserve">cog</w:t>
      </w:r>
      <w:r>
        <w:rPr>
          <w:rFonts w:ascii="Calibri" w:hAnsi="Calibri"/>
          <w:b w:val="0"/>
          <w:color w:val="333333"/>
          <w:sz w:val="21"/>
        </w:rPr>
        <w:t xml:space="preserve"> layer in </w:t>
      </w:r>
      <w:r>
        <w:rPr>
          <w:rFonts w:ascii="Consolas" w:hAnsi="Consolas" w:cs="Consolas"/>
          <w:b w:val="0"/>
          <w:color w:val="1E1A4B"/>
          <w:sz w:val="19"/>
        </w:rPr>
        <w:t xml:space="preserve">spatial.es_external_layers</w:t>
      </w:r>
      <w:r>
        <w:rPr>
          <w:rFonts w:ascii="Calibri" w:hAnsi="Calibri"/>
          <w:b w:val="0"/>
          <w:color w:val="333333"/>
          <w:sz w:val="21"/>
        </w:rPr>
        <w:t xml:space="preserve">. This is the same pipeline with a different producer, and the one Training Plan topic 6.11 teaches for the Digital Earth Africa DEM.</w:t>
      </w:r>
    </w:p>
    <w:p>
      <w:pPr>
        <w:spacing w:after="80"/>
        <w:ind w:left="460" w:hanging="320"/>
      </w:pPr>
      <w:r>
        <w:rPr>
          <w:rFonts w:ascii="Calibri" w:hAnsi="Calibri"/>
          <w:b/>
          <w:color w:val="1E1A4B"/>
          <w:sz w:val="21"/>
        </w:rPr>
        <w:t xml:space="preserve">1.</w:t>
        <w:tab/>
      </w:r>
      <w:r>
        <w:rPr>
          <w:rFonts w:ascii="Calibri" w:hAnsi="Calibri"/>
          <w:b/>
          <w:color w:val="333333"/>
          <w:sz w:val="21"/>
        </w:rPr>
        <w:t xml:space="preserve">Fetch</w:t>
      </w:r>
      <w:r>
        <w:rPr>
          <w:rFonts w:ascii="Calibri" w:hAnsi="Calibri"/>
          <w:b w:val="0"/>
          <w:color w:val="333333"/>
          <w:sz w:val="21"/>
        </w:rPr>
        <w:t xml:space="preserve"> the parameters and steps wanted, for the latest run. The only genuinely new part.</w:t>
      </w:r>
    </w:p>
    <w:p>
      <w:pPr>
        <w:spacing w:after="80"/>
        <w:ind w:left="460" w:hanging="320"/>
      </w:pPr>
      <w:r>
        <w:rPr>
          <w:rFonts w:ascii="Calibri" w:hAnsi="Calibri"/>
          <w:b/>
          <w:color w:val="1E1A4B"/>
          <w:sz w:val="21"/>
        </w:rPr>
        <w:t xml:space="preserve">2.</w:t>
        <w:tab/>
      </w:r>
      <w:r>
        <w:rPr>
          <w:rFonts w:ascii="Calibri" w:hAnsi="Calibri"/>
          <w:b/>
          <w:color w:val="333333"/>
          <w:sz w:val="21"/>
        </w:rPr>
        <w:t xml:space="preserve">Clip and convert</w:t>
      </w:r>
      <w:r>
        <w:rPr>
          <w:rFonts w:ascii="Calibri" w:hAnsi="Calibri"/>
          <w:b w:val="0"/>
          <w:color w:val="333333"/>
          <w:sz w:val="21"/>
        </w:rPr>
        <w:t xml:space="preserve"> to Ghana's bounding box and write a Cloud-Optimized GeoTIFF — </w:t>
      </w:r>
      <w:r>
        <w:rPr>
          <w:rFonts w:ascii="Consolas" w:hAnsi="Consolas" w:cs="Consolas"/>
          <w:b w:val="0"/>
          <w:color w:val="1E1A4B"/>
          <w:sz w:val="19"/>
        </w:rPr>
        <w:t xml:space="preserve">gdal_translate -of COG</w:t>
      </w:r>
      <w:r>
        <w:rPr>
          <w:rFonts w:ascii="Calibri" w:hAnsi="Calibri"/>
          <w:b w:val="0"/>
          <w:color w:val="333333"/>
          <w:sz w:val="21"/>
        </w:rPr>
        <w:t xml:space="preserve">, since GDAL reads GRIB2 directly.</w:t>
      </w:r>
    </w:p>
    <w:p>
      <w:pPr>
        <w:spacing w:after="80"/>
        <w:ind w:left="460" w:hanging="320"/>
      </w:pPr>
      <w:r>
        <w:rPr>
          <w:rFonts w:ascii="Calibri" w:hAnsi="Calibri"/>
          <w:b/>
          <w:color w:val="1E1A4B"/>
          <w:sz w:val="21"/>
        </w:rPr>
        <w:t xml:space="preserve">3.</w:t>
        <w:tab/>
      </w:r>
      <w:r>
        <w:rPr>
          <w:rFonts w:ascii="Calibri" w:hAnsi="Calibri"/>
          <w:b/>
          <w:color w:val="333333"/>
          <w:sz w:val="21"/>
        </w:rPr>
        <w:t xml:space="preserve">Publish</w:t>
      </w:r>
      <w:r>
        <w:rPr>
          <w:rFonts w:ascii="Calibri" w:hAnsi="Calibri"/>
          <w:b w:val="0"/>
          <w:color w:val="333333"/>
          <w:sz w:val="21"/>
        </w:rPr>
        <w:t xml:space="preserve"> the COG beside the DEM at </w:t>
      </w:r>
      <w:r>
        <w:rPr>
          <w:rFonts w:ascii="Consolas" w:hAnsi="Consolas" w:cs="Consolas"/>
          <w:b w:val="0"/>
          <w:color w:val="1E1A4B"/>
          <w:sz w:val="19"/>
        </w:rPr>
        <w:t xml:space="preserve">minioapi.lupmis4luspa.org/raster-objects/…</w:t>
      </w:r>
      <w:r>
        <w:rPr>
          <w:rFonts w:ascii="Calibri" w:hAnsi="Calibri"/>
          <w:b w:val="0"/>
          <w:color w:val="333333"/>
          <w:sz w:val="21"/>
        </w:rPr>
        <w:t xml:space="preserve">, overwriting the same object name so the layer URL never changes.</w:t>
      </w:r>
    </w:p>
    <w:p>
      <w:pPr>
        <w:spacing w:after="80"/>
        <w:ind w:left="460" w:hanging="320"/>
      </w:pPr>
      <w:r>
        <w:rPr>
          <w:rFonts w:ascii="Calibri" w:hAnsi="Calibri"/>
          <w:b/>
          <w:color w:val="1E1A4B"/>
          <w:sz w:val="21"/>
        </w:rPr>
        <w:t xml:space="preserve">4.</w:t>
        <w:tab/>
      </w:r>
      <w:r>
        <w:rPr>
          <w:rFonts w:ascii="Calibri" w:hAnsi="Calibri"/>
          <w:b/>
          <w:color w:val="333333"/>
          <w:sz w:val="21"/>
        </w:rPr>
        <w:t xml:space="preserve">Register once</w:t>
      </w:r>
      <w:r>
        <w:rPr>
          <w:rFonts w:ascii="Calibri" w:hAnsi="Calibri"/>
          <w:b w:val="0"/>
          <w:color w:val="333333"/>
          <w:sz w:val="21"/>
        </w:rPr>
        <w:t xml:space="preserve">: one row in </w:t>
      </w:r>
      <w:r>
        <w:rPr>
          <w:rFonts w:ascii="Consolas" w:hAnsi="Consolas" w:cs="Consolas"/>
          <w:b w:val="0"/>
          <w:color w:val="1E1A4B"/>
          <w:sz w:val="19"/>
        </w:rPr>
        <w:t xml:space="preserve">spatial.es_external_layers</w:t>
      </w:r>
      <w:r>
        <w:rPr>
          <w:rFonts w:ascii="Calibri" w:hAnsi="Calibri"/>
          <w:b w:val="0"/>
          <w:color w:val="333333"/>
          <w:sz w:val="21"/>
        </w:rPr>
        <w:t xml:space="preserve"> with </w:t>
      </w:r>
      <w:r>
        <w:rPr>
          <w:rFonts w:ascii="Consolas" w:hAnsi="Consolas" w:cs="Consolas"/>
          <w:b w:val="0"/>
          <w:color w:val="1E1A4B"/>
          <w:sz w:val="19"/>
        </w:rPr>
        <w:t xml:space="preserve">layer_type='cog'</w:t>
      </w:r>
      <w:r>
        <w:rPr>
          <w:rFonts w:ascii="Calibri" w:hAnsi="Calibri"/>
          <w:b w:val="0"/>
          <w:color w:val="333333"/>
          <w:sz w:val="21"/>
        </w:rPr>
        <w:t xml:space="preserve">, the URL, the attribution and a title that states the resolution. The script never touches the database again.</w:t>
      </w:r>
    </w:p>
    <w:p>
      <w:pPr>
        <w:spacing w:after="80"/>
        <w:ind w:left="460" w:hanging="320"/>
      </w:pPr>
      <w:r>
        <w:rPr>
          <w:rFonts w:ascii="Calibri" w:hAnsi="Calibri"/>
          <w:b/>
          <w:color w:val="1E1A4B"/>
          <w:sz w:val="21"/>
        </w:rPr>
        <w:t xml:space="preserve">5.</w:t>
        <w:tab/>
      </w:r>
      <w:r>
        <w:rPr>
          <w:rFonts w:ascii="Calibri" w:hAnsi="Calibri"/>
          <w:b/>
          <w:color w:val="333333"/>
          <w:sz w:val="21"/>
        </w:rPr>
        <w:t xml:space="preserve">Schedule</w:t>
      </w:r>
      <w:r>
        <w:rPr>
          <w:rFonts w:ascii="Calibri" w:hAnsi="Calibri"/>
          <w:b w:val="0"/>
          <w:color w:val="333333"/>
          <w:sz w:val="21"/>
        </w:rPr>
        <w:t xml:space="preserve"> twice daily after the 00 and 12 UTC runs. A missed run breaks nothing — the previous COG is still served — so the run time must appear in the layer name, or stale data will look current.</w:t>
      </w:r>
    </w:p>
    <w:tbl>
      <w:tblPr>
        <w:tblW w:type="dxa" w:w="9026"/>
        <w:tblLayout w:type="fixed"/>
        <w:tblBorders>
          <w:top w:val="single" w:sz="4" w:space="0" w:color="D9D9E3"/>
          <w:left w:val="single" w:sz="4" w:space="0" w:color="D9D9E3"/>
          <w:bottom w:val="single" w:sz="4" w:space="0" w:color="D9D9E3"/>
          <w:right w:val="single" w:sz="4" w:space="0" w:color="D9D9E3"/>
        </w:tblBorders>
        <w:tblCellMar>
          <w:left w:w="140" w:type="dxa"/>
          <w:right w:w="140" w:type="dxa"/>
        </w:tblCellMar>
      </w:tblPr>
      <w:tblGrid>
        <w:gridCol w:w="9026"/>
      </w:tblGrid>
      <w:tr>
        <w:trPr>
          <w:cantSplit/>
        </w:trPr>
        <w:tc>
          <w:tcPr>
            <w:tcW w:type="dxa" w:w="9026"/>
            <w:shd w:val="clear" w:fill="F5F5F7"/>
          </w:tcPr>
          <w:p>
            <w:pPr>
              <w:spacing w:before="60" w:after="0" w:line="260" w:lineRule="auto"/>
            </w:pPr>
            <w:r>
              <w:rPr>
                <w:rFonts w:ascii="Consolas" w:hAnsi="Consolas" w:cs="Consolas"/>
                <w:b w:val="0"/>
                <w:color w:val="1E1A4B"/>
                <w:sz w:val="18"/>
              </w:rPr>
              <w:t xml:space="preserve">from ecmwf.opendata import Client</w:t>
            </w:r>
          </w:p>
          <w:p>
            <w:pPr>
              <w:spacing w:before="0" w:after="0" w:line="260" w:lineRule="auto"/>
            </w:pPr>
            <w:r>
              <w:rPr>
                <w:rFonts w:ascii="Consolas" w:hAnsi="Consolas" w:cs="Consolas"/>
                <w:b w:val="0"/>
                <w:color w:val="1E1A4B"/>
                <w:sz w:val="18"/>
              </w:rPr>
              <w:t xml:space="preserve"/>
            </w:r>
          </w:p>
          <w:p>
            <w:pPr>
              <w:spacing w:before="0" w:after="0" w:line="260" w:lineRule="auto"/>
            </w:pPr>
            <w:r>
              <w:rPr>
                <w:rFonts w:ascii="Consolas" w:hAnsi="Consolas" w:cs="Consolas"/>
                <w:b w:val="0"/>
                <w:color w:val="1E1A4B"/>
                <w:sz w:val="18"/>
              </w:rPr>
              <w:t xml:space="preserve">Client(source="ecmwf").retrieve(</w:t>
            </w:r>
          </w:p>
          <w:p>
            <w:pPr>
              <w:spacing w:before="0" w:after="0" w:line="260" w:lineRule="auto"/>
            </w:pPr>
            <w:r>
              <w:rPr>
                <w:rFonts w:ascii="Consolas" w:hAnsi="Consolas" w:cs="Consolas"/>
                <w:b w:val="0"/>
                <w:color w:val="1E1A4B"/>
                <w:sz w:val="18"/>
              </w:rPr>
              <w:t xml:space="preserve">    type="fc", param=["tp", "2t"], step=[24, 48, 72],</w:t>
            </w:r>
          </w:p>
          <w:p>
            <w:pPr>
              <w:spacing w:before="0" w:after="0" w:line="260" w:lineRule="auto"/>
            </w:pPr>
            <w:r>
              <w:rPr>
                <w:rFonts w:ascii="Consolas" w:hAnsi="Consolas" w:cs="Consolas"/>
                <w:b w:val="0"/>
                <w:color w:val="1E1A4B"/>
                <w:sz w:val="18"/>
              </w:rPr>
              <w:t xml:space="preserve">    target="ghana_fc.grib2")</w:t>
            </w:r>
          </w:p>
          <w:p>
            <w:pPr>
              <w:spacing w:before="0" w:after="0" w:line="260" w:lineRule="auto"/>
            </w:pPr>
            <w:r>
              <w:rPr>
                <w:rFonts w:ascii="Consolas" w:hAnsi="Consolas" w:cs="Consolas"/>
                <w:b w:val="0"/>
                <w:color w:val="1E1A4B"/>
                <w:sz w:val="18"/>
              </w:rPr>
              <w:t xml:space="preserve"/>
            </w:r>
          </w:p>
          <w:p>
            <w:pPr>
              <w:spacing w:before="0" w:after="0" w:line="260" w:lineRule="auto"/>
            </w:pPr>
            <w:r>
              <w:rPr>
                <w:rFonts w:ascii="Consolas" w:hAnsi="Consolas" w:cs="Consolas"/>
                <w:b w:val="0"/>
                <w:color w:val="1E1A4B"/>
                <w:sz w:val="18"/>
              </w:rPr>
              <w:t xml:space="preserve"># gdal_translate -projwin -3.3 11.2 1.2 4.7 -of COG \</w:t>
            </w:r>
          </w:p>
          <w:p>
            <w:pPr>
              <w:spacing w:before="0" w:after="60" w:line="260" w:lineRule="auto"/>
            </w:pPr>
            <w:r>
              <w:rPr>
                <w:rFonts w:ascii="Consolas" w:hAnsi="Consolas" w:cs="Consolas"/>
                <w:b w:val="0"/>
                <w:color w:val="1E1A4B"/>
                <w:sz w:val="18"/>
              </w:rPr>
              <w:t xml:space="preserve">#   -co COMPRESS=DEFLATE ghana_fc.grib2 ghana_tp_24h.tif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rFonts w:ascii="Calibri" w:hAnsi="Calibri"/>
          <w:b w:val="0"/>
          <w:color w:val="333333"/>
          <w:sz w:val="21"/>
        </w:rPr>
        <w:t xml:space="preserve">Two conditions. The object store must keep allowing </w:t>
      </w:r>
      <w:r>
        <w:rPr>
          <w:rFonts w:ascii="Calibri" w:hAnsi="Calibri"/>
          <w:b/>
          <w:color w:val="333333"/>
          <w:sz w:val="21"/>
        </w:rPr>
        <w:t xml:space="preserve">CORS and byte-range requests</w:t>
      </w:r>
      <w:r>
        <w:rPr>
          <w:rFonts w:ascii="Calibri" w:hAnsi="Calibri"/>
          <w:b w:val="0"/>
          <w:color w:val="333333"/>
          <w:sz w:val="21"/>
        </w:rPr>
        <w:t xml:space="preserve"> — LUPMIS2 refuses a COG whose server answers 200 where it should answer 206, and the DEM works today. And the layer </w:t>
      </w:r>
      <w:r>
        <w:rPr>
          <w:rFonts w:ascii="Calibri" w:hAnsi="Calibri"/>
          <w:b/>
          <w:color w:val="333333"/>
          <w:sz w:val="21"/>
        </w:rPr>
        <w:t xml:space="preserve">must state its resolution in the title</w:t>
      </w:r>
      <w:r>
        <w:rPr>
          <w:rFonts w:ascii="Calibri" w:hAnsi="Calibri"/>
          <w:b w:val="0"/>
          <w:color w:val="333333"/>
          <w:sz w:val="21"/>
        </w:rPr>
        <w:t xml:space="preserve">: a rainfall raster looks continuous at district zoom and will be read as parcel-level unless it says otherwise. That is the biggest risk here, and it is a labelling problem, not a technical one.</w:t>
      </w:r>
    </w:p>
    <w:tbl>
      <w:tblPr>
        <w:tblW w:type="dxa" w:w="9026"/>
        <w:tblLayout w:type="fixed"/>
        <w:tblBorders>
          <w:top w:val="single" w:sz="4" w:space="0" w:color="D9D9E3"/>
          <w:left w:val="single" w:sz="4" w:space="0" w:color="D9D9E3"/>
          <w:bottom w:val="single" w:sz="4" w:space="0" w:color="D9D9E3"/>
          <w:right w:val="single" w:sz="4" w:space="0" w:color="D9D9E3"/>
          <w:insideH w:val="single" w:sz="4" w:space="0" w:color="D9D9E3"/>
          <w:insideV w:val="single" w:sz="4" w:space="0" w:color="D9D9E3"/>
        </w:tblBorders>
      </w:tblPr>
      <w:tblGrid>
        <w:gridCol w:w="3000"/>
        <w:gridCol w:w="4700"/>
        <w:gridCol w:w="1326"/>
      </w:tblGrid>
      <w:tr>
        <w:trPr>
          <w:tblHeader/>
          <w:cantSplit/>
        </w:trPr>
        <w:tc>
          <w:tcPr>
            <w:tcW w:type="dxa" w:w="3000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19"/>
              </w:rPr>
              <w:t xml:space="preserve">Step</w:t>
            </w:r>
          </w:p>
        </w:tc>
        <w:tc>
          <w:tcPr>
            <w:tcW w:type="dxa" w:w="4700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19"/>
              </w:rPr>
              <w:t xml:space="preserve">Work</w:t>
            </w:r>
          </w:p>
        </w:tc>
        <w:tc>
          <w:tcPr>
            <w:tcW w:type="dxa" w:w="1326"/>
            <w:shd w:val="clear" w:fill="1E1A4B"/>
          </w:tcPr>
          <w:p>
            <w:pPr>
              <w:spacing w:before="30" w:after="30"/>
            </w:pPr>
            <w:r>
              <w:rPr>
                <w:rFonts w:ascii="Calibri" w:hAnsi="Calibri"/>
                <w:b/>
                <w:color w:val="FFFFFF"/>
                <w:sz w:val="19"/>
              </w:rPr>
              <w:t xml:space="preserve">Estimate</w:t>
            </w:r>
          </w:p>
        </w:tc>
      </w:tr>
      <w:tr>
        <w:trPr>
          <w:cantSplit/>
        </w:trPr>
        <w:tc>
          <w:tcPr>
            <w:tcW w:type="dxa" w:w="30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Fetch and convert script</w:t>
            </w:r>
          </w:p>
        </w:tc>
        <w:tc>
          <w:tcPr>
            <w:tcW w:type="dxa" w:w="47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Python, ~80 lines, including the Ghana clip and the COG write</w:t>
            </w:r>
          </w:p>
        </w:tc>
        <w:tc>
          <w:tcPr>
            <w:tcW w:type="dxa" w:w="13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1 day</w:t>
            </w:r>
          </w:p>
        </w:tc>
      </w:tr>
      <w:tr>
        <w:trPr>
          <w:cantSplit/>
        </w:trPr>
        <w:tc>
          <w:tcPr>
            <w:tcW w:type="dxa" w:w="30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Publish and schedule</w:t>
            </w:r>
          </w:p>
        </w:tc>
        <w:tc>
          <w:tcPr>
            <w:tcW w:type="dxa" w:w="47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Upload to MinIO, cron entry, failure notification</w:t>
            </w:r>
          </w:p>
        </w:tc>
        <w:tc>
          <w:tcPr>
            <w:tcW w:type="dxa" w:w="1326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0.5 day</w:t>
            </w:r>
          </w:p>
        </w:tc>
      </w:tr>
      <w:tr>
        <w:trPr>
          <w:cantSplit/>
        </w:trPr>
        <w:tc>
          <w:tcPr>
            <w:tcW w:type="dxa" w:w="30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Register the layer</w:t>
            </w:r>
          </w:p>
        </w:tc>
        <w:tc>
          <w:tcPr>
            <w:tcW w:type="dxa" w:w="4700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One SQL insert, with attribution and a resolution note</w:t>
            </w:r>
          </w:p>
        </w:tc>
        <w:tc>
          <w:tcPr>
            <w:tcW w:type="dxa" w:w="1326"/>
            <w:shd w:val="clear" w:fill="FFFFFF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1 hour</w:t>
            </w:r>
          </w:p>
        </w:tc>
      </w:tr>
      <w:tr>
        <w:trPr>
          <w:cantSplit/>
        </w:trPr>
        <w:tc>
          <w:tcPr>
            <w:tcW w:type="dxa" w:w="30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Check on a real district</w:t>
            </w:r>
          </w:p>
        </w:tc>
        <w:tc>
          <w:tcPr>
            <w:tcW w:type="dxa" w:w="4700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Switch it on, confirm it draws and is legible</w:t>
            </w:r>
          </w:p>
        </w:tc>
        <w:tc>
          <w:tcPr>
            <w:tcW w:type="dxa" w:w="1326"/>
            <w:shd w:val="clear" w:fill="F0F0F8"/>
          </w:tcPr>
          <w:p>
            <w:pPr>
              <w:spacing w:before="30" w:after="30"/>
            </w:pPr>
            <w:r>
              <w:rPr>
                <w:rFonts w:ascii="Calibri" w:hAnsi="Calibri"/>
                <w:b w:val="0"/>
                <w:color w:val="333333"/>
                <w:sz w:val="19"/>
              </w:rPr>
              <w:t xml:space="preserve">0.5 day</w:t>
            </w:r>
          </w:p>
        </w:tc>
      </w:tr>
    </w:tbl>
    <w:p>
      <w:pPr>
        <w:spacing w:after="60"/>
      </w:pPr>
    </w:p>
    <w:p>
      <w:pPr>
        <w:spacing w:after="120"/>
      </w:pPr>
      <w:r>
        <w:rPr>
          <w:rFonts w:ascii="Calibri" w:hAnsi="Calibri"/>
          <w:b/>
          <w:color w:val="333333"/>
          <w:sz w:val="21"/>
        </w:rPr>
        <w:t xml:space="preserve">Recommendation.</w:t>
      </w:r>
      <w:r>
        <w:rPr>
          <w:rFonts w:ascii="Calibri" w:hAnsi="Calibri"/>
          <w:b w:val="0"/>
          <w:color w:val="333333"/>
          <w:sz w:val="21"/>
        </w:rPr>
        <w:t xml:space="preserve"> Build the overlay — two days, a real benefit for fieldwork planning, and it exercises the Python → COG → MinIO path the team is being trained on in topic 6.11, on data that costs nothing to get wrong. </w:t>
      </w:r>
      <w:r>
        <w:rPr>
          <w:rFonts w:ascii="Calibri" w:hAnsi="Calibri"/>
          <w:b/>
          <w:color w:val="333333"/>
          <w:sz w:val="21"/>
        </w:rPr>
        <w:t xml:space="preserve">Do not put it into the Analyse tools</w:t>
      </w:r>
      <w:r>
        <w:rPr>
          <w:rFonts w:ascii="Calibri" w:hAnsi="Calibri"/>
          <w:b w:val="0"/>
          <w:color w:val="333333"/>
          <w:sz w:val="21"/>
        </w:rPr>
        <w:t xml:space="preserve">: a 28 km grid in zonal statistics over collector zones produces a table that looks like analysis and is not one. If raster input there is wanted — and it would be useful — build it on ERA5-Land or CHIRPS, and do raster-to-zone sampling first, which LUPMIS2 does not have.</w:t>
      </w:r>
    </w:p>
    <w:p>
      <w:pPr>
        <w:spacing w:after="120"/>
      </w:pPr>
      <w:r>
        <w:rPr>
          <w:rFonts w:ascii="Calibri" w:hAnsi="Calibri"/>
          <w:b/>
          <w:color w:val="333333"/>
          <w:sz w:val="21"/>
        </w:rPr>
        <w:t xml:space="preserve">And the timing is good.</w:t>
      </w:r>
      <w:r>
        <w:rPr>
          <w:rFonts w:ascii="Calibri" w:hAnsi="Calibri"/>
          <w:b w:val="0"/>
          <w:color w:val="333333"/>
          <w:sz w:val="21"/>
        </w:rPr>
        <w:t xml:space="preserve"> ECMWF is moving the open subset from 0.25° to </w:t>
      </w:r>
      <w:r>
        <w:rPr>
          <w:rFonts w:ascii="Calibri" w:hAnsi="Calibri"/>
          <w:b/>
          <w:color w:val="333333"/>
          <w:sz w:val="21"/>
        </w:rPr>
        <w:t xml:space="preserve">0.1° (~9 km)</w:t>
      </w:r>
      <w:r>
        <w:rPr>
          <w:rFonts w:ascii="Calibri" w:hAnsi="Calibri"/>
          <w:b w:val="0"/>
          <w:color w:val="333333"/>
          <w:sz w:val="21"/>
        </w:rPr>
        <w:t xml:space="preserve">, expected live by the end of October 2026 — a month away. A 0.1° cell is 122 km², so Sagnarigu would be covered by </w:t>
      </w:r>
      <w:r>
        <w:rPr>
          <w:rFonts w:ascii="Calibri" w:hAnsi="Calibri"/>
          <w:b/>
          <w:color w:val="333333"/>
          <w:sz w:val="21"/>
        </w:rPr>
        <w:t xml:space="preserve">10 cells instead of 3</w:t>
      </w:r>
      <w:r>
        <w:rPr>
          <w:rFonts w:ascii="Calibri" w:hAnsi="Calibri"/>
          <w:b w:val="0"/>
          <w:color w:val="333333"/>
          <w:sz w:val="21"/>
        </w:rPr>
        <w:t xml:space="preserve">: a real overlay rather than three flat numbers. It still will not reach parcel level and will still be a forecast, so neither recommendation changes — but the pipeline is worth building now, because the picture improves by itself when the resolution lands.</w:t>
      </w:r>
    </w:p>
    <w:sectPr w:rsidR="0032655B">
      <w:headerReference w:type="default" r:id="rId13"/>
      <w:footerReference w:type="default" r:id="rId14"/>
      <w:headerReference w:type="first" r:id="rId17"/>
      <w:footerReference w:type="first" r:id="rId18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4F189B0" w14:textId="77777777" w:rsidR="00AE2CBB" w:rsidRDefault="00AE2CBB">
      <w:r>
        <w:separator/>
      </w:r>
    </w:p>
  </w:endnote>
  <w:endnote w:type="continuationSeparator" w:id="0">
    <w:p w14:paraId="2F99AFCD" w14:textId="77777777" w:rsidR="00AE2CBB" w:rsidRDefault="00AE2C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1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BM Plex Sans">
    <w:panose1 w:val="020B0503050000000000"/>
    <w:charset w:val="4D"/>
    <w:family w:val="swiss"/>
    <w:notTrueType/>
    <w:pitch w:val="variable"/>
    <w:sig w:usb0="A000006F" w:usb1="5000207B" w:usb2="00000000" w:usb3="00000000" w:csb0="000001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07F55E0" w14:textId="77777777" w:rsidR="007225A5" w:rsidRDefault="00FF00D1">
    <w:pPr>
      <w:pBdr>
        <w:top w:val="single" w:sz="1" w:space="4" w:color="CCCCCC"/>
      </w:pBdr>
      <w:jc w:val="center"/>
    </w:pPr>
    <w:proofErr w:type="gramStart"/>
    <w:r>
      <w:rPr>
        <w:color w:val="999999"/>
        <w:sz w:val="16"/>
        <w:szCs w:val="16"/>
      </w:rPr>
      <w:t>GOPA</w:t>
    </w:r>
    <w:r w:rsidR="002B6AA5">
      <w:rPr>
        <w:color w:val="999999"/>
        <w:sz w:val="16"/>
        <w:szCs w:val="16"/>
      </w:rPr>
      <w:t xml:space="preserve">  |</w:t>
    </w:r>
    <w:proofErr w:type="gramEnd"/>
    <w:r w:rsidR="002B6AA5">
      <w:rPr>
        <w:color w:val="999999"/>
        <w:sz w:val="16"/>
        <w:szCs w:val="16"/>
      </w:rPr>
      <w:t xml:space="preserve">  LUPMIS2 — ECMWF open data </w:t>
    </w:r>
    <w:proofErr w:type="gramStart"/>
    <w:r w:rsidR="002B6AA5">
      <w:rPr>
        <w:color w:val="999999"/>
        <w:sz w:val="16"/>
        <w:szCs w:val="16"/>
      </w:rPr>
      <w:t xml:space="preserve"> |</w:t>
    </w:r>
    <w:proofErr w:type="gramEnd"/>
    <w:r w:rsidR="002B6AA5">
      <w:rPr>
        <w:color w:val="999999"/>
        <w:sz w:val="16"/>
        <w:szCs w:val="16"/>
      </w:rPr>
      <w:t xml:space="preserve">  Page </w:t>
    </w:r>
    <w:r w:rsidR="002B6AA5">
      <w:rPr>
        <w:color w:val="999999"/>
        <w:sz w:val="16"/>
        <w:szCs w:val="16"/>
      </w:rPr>
      <w:fldChar w:fldCharType="begin"/>
    </w:r>
    <w:r w:rsidR="002B6AA5">
      <w:rPr>
        <w:color w:val="999999"/>
        <w:sz w:val="16"/>
        <w:szCs w:val="16"/>
      </w:rPr>
      <w:instrText>PAGE</w:instrText>
    </w:r>
    <w:r w:rsidR="002B6AA5">
      <w:rPr>
        <w:color w:val="999999"/>
        <w:sz w:val="16"/>
        <w:szCs w:val="16"/>
      </w:rPr>
      <w:fldChar w:fldCharType="separate"/>
    </w:r>
    <w:r w:rsidR="00E124F3">
      <w:rPr>
        <w:noProof/>
        <w:color w:val="999999"/>
        <w:sz w:val="16"/>
        <w:szCs w:val="16"/>
      </w:rPr>
      <w:t>2</w:t>
    </w:r>
    <w:r w:rsidR="002B6AA5">
      <w:rPr>
        <w:color w:val="999999"/>
        <w:sz w:val="16"/>
        <w:szCs w:val="16"/>
      </w:rPr>
      <w:fldChar w:fldCharType="end"/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9858AA1" w14:textId="77777777" w:rsidR="00AE2CBB" w:rsidRDefault="00AE2CBB">
      <w:r>
        <w:separator/>
      </w:r>
    </w:p>
  </w:footnote>
  <w:footnote w:type="continuationSeparator" w:id="0">
    <w:p w14:paraId="2D2B7F7F" w14:textId="77777777" w:rsidR="00AE2CBB" w:rsidRDefault="00AE2C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9BCA0B" w14:textId="77777777" w:rsidR="00FF00D1" w:rsidRDefault="00FF00D1" w:rsidP="00FF00D1">
    <w:pPr>
      <w:pStyle w:val="Kopfzeile"/>
    </w:pPr>
    <w:r>
      <w:rPr>
        <w:rFonts w:ascii="IBM Plex Sans" w:hAnsi="IBM Plex Sans"/>
        <w:noProof/>
      </w:rPr>
      <w:drawing>
        <wp:anchor distT="0" distB="0" distL="114300" distR="114300" simplePos="0" relativeHeight="251659264" behindDoc="0" locked="0" layoutInCell="1" allowOverlap="1" wp14:anchorId="50EF76EE" wp14:editId="0DB2641A">
          <wp:simplePos x="0" y="0"/>
          <wp:positionH relativeFrom="column">
            <wp:posOffset>-82955</wp:posOffset>
          </wp:positionH>
          <wp:positionV relativeFrom="paragraph">
            <wp:posOffset>182534</wp:posOffset>
          </wp:positionV>
          <wp:extent cx="1247775" cy="554355"/>
          <wp:effectExtent l="0" t="0" r="0" b="4445"/>
          <wp:wrapNone/>
          <wp:docPr id="192104447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21044471" name="Grafik 192104447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47775" cy="5543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W w:w="7087" w:type="dxa"/>
      <w:tblInd w:w="1977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 w:firstRow="0" w:lastRow="0" w:firstColumn="0" w:lastColumn="0" w:noHBand="0" w:noVBand="0"/>
    </w:tblPr>
    <w:tblGrid>
      <w:gridCol w:w="4111"/>
      <w:gridCol w:w="2976"/>
    </w:tblGrid>
    <w:tr w:rsidR="00FF00D1" w14:paraId="2A20D306" w14:textId="77777777" w:rsidTr="009A2347">
      <w:tc>
        <w:tcPr>
          <w:tcW w:w="4111" w:type="dxa"/>
        </w:tcPr>
        <w:p w14:paraId="69A2E7D4" w14:textId="77777777" w:rsidR="00FF00D1" w:rsidRDefault="00FF00D1" w:rsidP="00FF00D1">
          <w:r>
            <w:fldChar w:fldCharType="begin"/>
          </w:r>
          <w:r>
            <w:instrText xml:space="preserve"> SUBJECT  \* MERGEFORMAT </w:instrText>
          </w:r>
          <w:r>
            <w:fldChar w:fldCharType="end"/>
          </w:r>
        </w:p>
      </w:tc>
      <w:tc>
        <w:tcPr>
          <w:tcW w:w="2976" w:type="dxa"/>
        </w:tcPr>
        <w:p w14:paraId="29A49625" w14:textId="77777777" w:rsidR="00FF00D1" w:rsidRDefault="00FF00D1" w:rsidP="00FF00D1">
          <w:pPr>
            <w:tabs>
              <w:tab w:val="left" w:pos="1135"/>
            </w:tabs>
            <w:spacing w:before="40"/>
            <w:ind w:right="68"/>
          </w:pPr>
          <w:r>
            <w:t xml:space="preserve">  Version:           &lt;1.0&gt;</w:t>
          </w:r>
        </w:p>
      </w:tc>
    </w:tr>
    <w:tr w:rsidR="00FF00D1" w14:paraId="6F494568" w14:textId="77777777" w:rsidTr="009A2347">
      <w:tc>
        <w:tcPr>
          <w:tcW w:w="4111" w:type="dxa"/>
        </w:tcPr>
        <w:p w14:paraId="484C4EE4" w14:textId="77777777" w:rsidR="00FF00D1" w:rsidRPr="00FF00D1" w:rsidRDefault="00FF00D1" w:rsidP="00FF00D1">
          <w:pPr>
            <w:rPr>
              <w:sz w:val="20"/>
              <w:szCs w:val="20"/>
            </w:rPr>
          </w:pPr>
          <w:r w:rsidRPr="00FF00D1">
            <w:rPr>
              <w:i/>
              <w:iCs/>
              <w:color w:val="999999"/>
              <w:sz w:val="20"/>
              <w:szCs w:val="20"/>
            </w:rPr>
            <w:t>LUPMIS2 — ECMWF open data</w:t>
          </w:r>
        </w:p>
        <w:p w14:paraId="327B6622" w14:textId="77777777" w:rsidR="00FF00D1" w:rsidRDefault="00FF00D1" w:rsidP="00FF00D1"/>
      </w:tc>
      <w:tc>
        <w:tcPr>
          <w:tcW w:w="2976" w:type="dxa"/>
        </w:tcPr>
        <w:p w14:paraId="4309F002" w14:textId="77777777" w:rsidR="00FF00D1" w:rsidRDefault="00FF00D1" w:rsidP="00FF00D1"/>
      </w:tc>
    </w:tr>
  </w:tbl>
  <w:p w14:paraId="68F887F6" w14:textId="77777777" w:rsidR="007225A5" w:rsidRDefault="007225A5" w:rsidP="00FF00D1">
    <w:pPr>
      <w:jc w:val="right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3D14E62"/>
    <w:multiLevelType w:val="hybridMultilevel"/>
    <w:tmpl w:val="75CE0176"/>
    <w:lvl w:ilvl="0" w:tplc="8F1A652A">
      <w:start w:val="1"/>
      <w:numFmt w:val="bullet"/>
      <w:lvlText w:val="•"/>
      <w:lvlJc w:val="left"/>
      <w:pPr>
        <w:ind w:left="720" w:hanging="360"/>
      </w:pPr>
    </w:lvl>
    <w:lvl w:ilvl="1" w:tplc="8B8ACFE2">
      <w:numFmt w:val="decimal"/>
      <w:lvlText w:val=""/>
      <w:lvlJc w:val="left"/>
    </w:lvl>
    <w:lvl w:ilvl="2" w:tplc="D1D6877E">
      <w:numFmt w:val="decimal"/>
      <w:lvlText w:val=""/>
      <w:lvlJc w:val="left"/>
    </w:lvl>
    <w:lvl w:ilvl="3" w:tplc="5044C660">
      <w:numFmt w:val="decimal"/>
      <w:lvlText w:val=""/>
      <w:lvlJc w:val="left"/>
    </w:lvl>
    <w:lvl w:ilvl="4" w:tplc="E058533C">
      <w:numFmt w:val="decimal"/>
      <w:lvlText w:val=""/>
      <w:lvlJc w:val="left"/>
    </w:lvl>
    <w:lvl w:ilvl="5" w:tplc="A014B8E6">
      <w:numFmt w:val="decimal"/>
      <w:lvlText w:val=""/>
      <w:lvlJc w:val="left"/>
    </w:lvl>
    <w:lvl w:ilvl="6" w:tplc="F3C2F5A8">
      <w:numFmt w:val="decimal"/>
      <w:lvlText w:val=""/>
      <w:lvlJc w:val="left"/>
    </w:lvl>
    <w:lvl w:ilvl="7" w:tplc="CCCEA62E">
      <w:numFmt w:val="decimal"/>
      <w:lvlText w:val=""/>
      <w:lvlJc w:val="left"/>
    </w:lvl>
    <w:lvl w:ilvl="8" w:tplc="CFA44C4E">
      <w:numFmt w:val="decimal"/>
      <w:lvlText w:val=""/>
      <w:lvlJc w:val="left"/>
    </w:lvl>
  </w:abstractNum>
  <w:abstractNum w:abstractNumId="1" w15:restartNumberingAfterBreak="0">
    <w:nsid w:val="2E622A17"/>
    <w:multiLevelType w:val="hybridMultilevel"/>
    <w:tmpl w:val="CFB85480"/>
    <w:lvl w:ilvl="0" w:tplc="101E9D50">
      <w:start w:val="1"/>
      <w:numFmt w:val="bullet"/>
      <w:lvlText w:val="•"/>
      <w:lvlJc w:val="left"/>
      <w:pPr>
        <w:ind w:left="720" w:hanging="360"/>
      </w:pPr>
    </w:lvl>
    <w:lvl w:ilvl="1" w:tplc="A43AEC48">
      <w:numFmt w:val="decimal"/>
      <w:lvlText w:val=""/>
      <w:lvlJc w:val="left"/>
    </w:lvl>
    <w:lvl w:ilvl="2" w:tplc="040C8C88">
      <w:numFmt w:val="decimal"/>
      <w:lvlText w:val=""/>
      <w:lvlJc w:val="left"/>
    </w:lvl>
    <w:lvl w:ilvl="3" w:tplc="B270097C">
      <w:numFmt w:val="decimal"/>
      <w:lvlText w:val=""/>
      <w:lvlJc w:val="left"/>
    </w:lvl>
    <w:lvl w:ilvl="4" w:tplc="241CC0E8">
      <w:numFmt w:val="decimal"/>
      <w:lvlText w:val=""/>
      <w:lvlJc w:val="left"/>
    </w:lvl>
    <w:lvl w:ilvl="5" w:tplc="39061F8A">
      <w:numFmt w:val="decimal"/>
      <w:lvlText w:val=""/>
      <w:lvlJc w:val="left"/>
    </w:lvl>
    <w:lvl w:ilvl="6" w:tplc="5E568876">
      <w:numFmt w:val="decimal"/>
      <w:lvlText w:val=""/>
      <w:lvlJc w:val="left"/>
    </w:lvl>
    <w:lvl w:ilvl="7" w:tplc="C1CE8022">
      <w:numFmt w:val="decimal"/>
      <w:lvlText w:val=""/>
      <w:lvlJc w:val="left"/>
    </w:lvl>
    <w:lvl w:ilvl="8" w:tplc="358A7FE4">
      <w:numFmt w:val="decimal"/>
      <w:lvlText w:val=""/>
      <w:lvlJc w:val="left"/>
    </w:lvl>
  </w:abstractNum>
  <w:abstractNum w:abstractNumId="2" w15:restartNumberingAfterBreak="0">
    <w:nsid w:val="453F4DBC"/>
    <w:multiLevelType w:val="hybridMultilevel"/>
    <w:tmpl w:val="C7ACC4D4"/>
    <w:lvl w:ilvl="0" w:tplc="A26A4618">
      <w:start w:val="1"/>
      <w:numFmt w:val="bullet"/>
      <w:lvlText w:val="•"/>
      <w:lvlJc w:val="left"/>
      <w:pPr>
        <w:ind w:left="720" w:hanging="360"/>
      </w:pPr>
    </w:lvl>
    <w:lvl w:ilvl="1" w:tplc="6C741206">
      <w:numFmt w:val="decimal"/>
      <w:lvlText w:val=""/>
      <w:lvlJc w:val="left"/>
    </w:lvl>
    <w:lvl w:ilvl="2" w:tplc="DC5416AC">
      <w:numFmt w:val="decimal"/>
      <w:lvlText w:val=""/>
      <w:lvlJc w:val="left"/>
    </w:lvl>
    <w:lvl w:ilvl="3" w:tplc="2F3EDA46">
      <w:numFmt w:val="decimal"/>
      <w:lvlText w:val=""/>
      <w:lvlJc w:val="left"/>
    </w:lvl>
    <w:lvl w:ilvl="4" w:tplc="373E9FFC">
      <w:numFmt w:val="decimal"/>
      <w:lvlText w:val=""/>
      <w:lvlJc w:val="left"/>
    </w:lvl>
    <w:lvl w:ilvl="5" w:tplc="382C506C">
      <w:numFmt w:val="decimal"/>
      <w:lvlText w:val=""/>
      <w:lvlJc w:val="left"/>
    </w:lvl>
    <w:lvl w:ilvl="6" w:tplc="C7B0219C">
      <w:numFmt w:val="decimal"/>
      <w:lvlText w:val=""/>
      <w:lvlJc w:val="left"/>
    </w:lvl>
    <w:lvl w:ilvl="7" w:tplc="AC384D0A">
      <w:numFmt w:val="decimal"/>
      <w:lvlText w:val=""/>
      <w:lvlJc w:val="left"/>
    </w:lvl>
    <w:lvl w:ilvl="8" w:tplc="CB24CAD4">
      <w:numFmt w:val="decimal"/>
      <w:lvlText w:val=""/>
      <w:lvlJc w:val="left"/>
    </w:lvl>
  </w:abstractNum>
  <w:abstractNum w:abstractNumId="3" w15:restartNumberingAfterBreak="0">
    <w:nsid w:val="64C77784"/>
    <w:multiLevelType w:val="hybridMultilevel"/>
    <w:tmpl w:val="BBC28EB8"/>
    <w:lvl w:ilvl="0" w:tplc="C2D60420">
      <w:start w:val="1"/>
      <w:numFmt w:val="bullet"/>
      <w:lvlText w:val="●"/>
      <w:lvlJc w:val="left"/>
      <w:pPr>
        <w:ind w:left="720" w:hanging="360"/>
      </w:pPr>
    </w:lvl>
    <w:lvl w:ilvl="1" w:tplc="95FEDDB8">
      <w:start w:val="1"/>
      <w:numFmt w:val="bullet"/>
      <w:lvlText w:val="○"/>
      <w:lvlJc w:val="left"/>
      <w:pPr>
        <w:ind w:left="1440" w:hanging="360"/>
      </w:pPr>
    </w:lvl>
    <w:lvl w:ilvl="2" w:tplc="6F268602">
      <w:start w:val="1"/>
      <w:numFmt w:val="bullet"/>
      <w:lvlText w:val="■"/>
      <w:lvlJc w:val="left"/>
      <w:pPr>
        <w:ind w:left="2160" w:hanging="360"/>
      </w:pPr>
    </w:lvl>
    <w:lvl w:ilvl="3" w:tplc="6E2AB020">
      <w:start w:val="1"/>
      <w:numFmt w:val="bullet"/>
      <w:lvlText w:val="●"/>
      <w:lvlJc w:val="left"/>
      <w:pPr>
        <w:ind w:left="2880" w:hanging="360"/>
      </w:pPr>
    </w:lvl>
    <w:lvl w:ilvl="4" w:tplc="71F66538">
      <w:start w:val="1"/>
      <w:numFmt w:val="bullet"/>
      <w:lvlText w:val="○"/>
      <w:lvlJc w:val="left"/>
      <w:pPr>
        <w:ind w:left="3600" w:hanging="360"/>
      </w:pPr>
    </w:lvl>
    <w:lvl w:ilvl="5" w:tplc="6E48485E">
      <w:start w:val="1"/>
      <w:numFmt w:val="bullet"/>
      <w:lvlText w:val="■"/>
      <w:lvlJc w:val="left"/>
      <w:pPr>
        <w:ind w:left="4320" w:hanging="360"/>
      </w:pPr>
    </w:lvl>
    <w:lvl w:ilvl="6" w:tplc="CE96DC80">
      <w:start w:val="1"/>
      <w:numFmt w:val="bullet"/>
      <w:lvlText w:val="●"/>
      <w:lvlJc w:val="left"/>
      <w:pPr>
        <w:ind w:left="5040" w:hanging="360"/>
      </w:pPr>
    </w:lvl>
    <w:lvl w:ilvl="7" w:tplc="B9CECC7A">
      <w:start w:val="1"/>
      <w:numFmt w:val="bullet"/>
      <w:lvlText w:val="●"/>
      <w:lvlJc w:val="left"/>
      <w:pPr>
        <w:ind w:left="5760" w:hanging="360"/>
      </w:pPr>
    </w:lvl>
    <w:lvl w:ilvl="8" w:tplc="1134570A">
      <w:start w:val="1"/>
      <w:numFmt w:val="bullet"/>
      <w:lvlText w:val="●"/>
      <w:lvlJc w:val="left"/>
      <w:pPr>
        <w:ind w:left="6480" w:hanging="360"/>
      </w:pPr>
    </w:lvl>
  </w:abstractNum>
  <w:abstractNum w:abstractNumId="4" w15:restartNumberingAfterBreak="0">
    <w:nsid w:val="67D46B26"/>
    <w:multiLevelType w:val="hybridMultilevel"/>
    <w:tmpl w:val="A2CC07CC"/>
    <w:lvl w:ilvl="0" w:tplc="72CA0E8E">
      <w:start w:val="1"/>
      <w:numFmt w:val="bullet"/>
      <w:lvlText w:val="•"/>
      <w:lvlJc w:val="left"/>
      <w:pPr>
        <w:ind w:left="720" w:hanging="360"/>
      </w:pPr>
    </w:lvl>
    <w:lvl w:ilvl="1" w:tplc="C10215A8">
      <w:numFmt w:val="decimal"/>
      <w:lvlText w:val=""/>
      <w:lvlJc w:val="left"/>
    </w:lvl>
    <w:lvl w:ilvl="2" w:tplc="31469E24">
      <w:numFmt w:val="decimal"/>
      <w:lvlText w:val=""/>
      <w:lvlJc w:val="left"/>
    </w:lvl>
    <w:lvl w:ilvl="3" w:tplc="4F7EE41A">
      <w:numFmt w:val="decimal"/>
      <w:lvlText w:val=""/>
      <w:lvlJc w:val="left"/>
    </w:lvl>
    <w:lvl w:ilvl="4" w:tplc="52C25704">
      <w:numFmt w:val="decimal"/>
      <w:lvlText w:val=""/>
      <w:lvlJc w:val="left"/>
    </w:lvl>
    <w:lvl w:ilvl="5" w:tplc="B9DA91CE">
      <w:numFmt w:val="decimal"/>
      <w:lvlText w:val=""/>
      <w:lvlJc w:val="left"/>
    </w:lvl>
    <w:lvl w:ilvl="6" w:tplc="16DC6126">
      <w:numFmt w:val="decimal"/>
      <w:lvlText w:val=""/>
      <w:lvlJc w:val="left"/>
    </w:lvl>
    <w:lvl w:ilvl="7" w:tplc="5C6CFF0A">
      <w:numFmt w:val="decimal"/>
      <w:lvlText w:val=""/>
      <w:lvlJc w:val="left"/>
    </w:lvl>
    <w:lvl w:ilvl="8" w:tplc="BB762600">
      <w:numFmt w:val="decimal"/>
      <w:lvlText w:val=""/>
      <w:lvlJc w:val="left"/>
    </w:lvl>
  </w:abstractNum>
  <w:abstractNum w:abstractNumId="5" w15:restartNumberingAfterBreak="0">
    <w:nsid w:val="6E2C704A"/>
    <w:multiLevelType w:val="hybridMultilevel"/>
    <w:tmpl w:val="09904268"/>
    <w:lvl w:ilvl="0" w:tplc="08002240">
      <w:start w:val="1"/>
      <w:numFmt w:val="bullet"/>
      <w:lvlText w:val="•"/>
      <w:lvlJc w:val="left"/>
      <w:pPr>
        <w:ind w:left="720" w:hanging="360"/>
      </w:pPr>
    </w:lvl>
    <w:lvl w:ilvl="1" w:tplc="51405A52">
      <w:numFmt w:val="decimal"/>
      <w:lvlText w:val=""/>
      <w:lvlJc w:val="left"/>
    </w:lvl>
    <w:lvl w:ilvl="2" w:tplc="923A24CA">
      <w:numFmt w:val="decimal"/>
      <w:lvlText w:val=""/>
      <w:lvlJc w:val="left"/>
    </w:lvl>
    <w:lvl w:ilvl="3" w:tplc="CF08FE5E">
      <w:numFmt w:val="decimal"/>
      <w:lvlText w:val=""/>
      <w:lvlJc w:val="left"/>
    </w:lvl>
    <w:lvl w:ilvl="4" w:tplc="0792B0EA">
      <w:numFmt w:val="decimal"/>
      <w:lvlText w:val=""/>
      <w:lvlJc w:val="left"/>
    </w:lvl>
    <w:lvl w:ilvl="5" w:tplc="8E166892">
      <w:numFmt w:val="decimal"/>
      <w:lvlText w:val=""/>
      <w:lvlJc w:val="left"/>
    </w:lvl>
    <w:lvl w:ilvl="6" w:tplc="3904D9F4">
      <w:numFmt w:val="decimal"/>
      <w:lvlText w:val=""/>
      <w:lvlJc w:val="left"/>
    </w:lvl>
    <w:lvl w:ilvl="7" w:tplc="0C40744E">
      <w:numFmt w:val="decimal"/>
      <w:lvlText w:val=""/>
      <w:lvlJc w:val="left"/>
    </w:lvl>
    <w:lvl w:ilvl="8" w:tplc="69CE74E2">
      <w:numFmt w:val="decimal"/>
      <w:lvlText w:val=""/>
      <w:lvlJc w:val="left"/>
    </w:lvl>
  </w:abstractNum>
  <w:abstractNum w:abstractNumId="6" w15:restartNumberingAfterBreak="0">
    <w:nsid w:val="7BCB6157"/>
    <w:multiLevelType w:val="hybridMultilevel"/>
    <w:tmpl w:val="36025970"/>
    <w:lvl w:ilvl="0" w:tplc="7A4E9CE0">
      <w:start w:val="1"/>
      <w:numFmt w:val="bullet"/>
      <w:lvlText w:val="•"/>
      <w:lvlJc w:val="left"/>
      <w:pPr>
        <w:ind w:left="720" w:hanging="360"/>
      </w:pPr>
    </w:lvl>
    <w:lvl w:ilvl="1" w:tplc="E2709336">
      <w:numFmt w:val="decimal"/>
      <w:lvlText w:val=""/>
      <w:lvlJc w:val="left"/>
    </w:lvl>
    <w:lvl w:ilvl="2" w:tplc="2B6E6200">
      <w:numFmt w:val="decimal"/>
      <w:lvlText w:val=""/>
      <w:lvlJc w:val="left"/>
    </w:lvl>
    <w:lvl w:ilvl="3" w:tplc="F52644B4">
      <w:numFmt w:val="decimal"/>
      <w:lvlText w:val=""/>
      <w:lvlJc w:val="left"/>
    </w:lvl>
    <w:lvl w:ilvl="4" w:tplc="007E4902">
      <w:numFmt w:val="decimal"/>
      <w:lvlText w:val=""/>
      <w:lvlJc w:val="left"/>
    </w:lvl>
    <w:lvl w:ilvl="5" w:tplc="4A065B6C">
      <w:numFmt w:val="decimal"/>
      <w:lvlText w:val=""/>
      <w:lvlJc w:val="left"/>
    </w:lvl>
    <w:lvl w:ilvl="6" w:tplc="D1949016">
      <w:numFmt w:val="decimal"/>
      <w:lvlText w:val=""/>
      <w:lvlJc w:val="left"/>
    </w:lvl>
    <w:lvl w:ilvl="7" w:tplc="2D2068FE">
      <w:numFmt w:val="decimal"/>
      <w:lvlText w:val=""/>
      <w:lvlJc w:val="left"/>
    </w:lvl>
    <w:lvl w:ilvl="8" w:tplc="345027CE">
      <w:numFmt w:val="decimal"/>
      <w:lvlText w:val=""/>
      <w:lvlJc w:val="left"/>
    </w:lvl>
  </w:abstractNum>
  <w:num w:numId="1" w16cid:durableId="1472747989">
    <w:abstractNumId w:val="3"/>
    <w:lvlOverride w:ilvl="0">
      <w:startOverride w:val="1"/>
    </w:lvlOverride>
  </w:num>
  <w:num w:numId="2" w16cid:durableId="197932685">
    <w:abstractNumId w:val="5"/>
    <w:lvlOverride w:ilvl="0">
      <w:startOverride w:val="1"/>
    </w:lvlOverride>
  </w:num>
  <w:num w:numId="3" w16cid:durableId="758254462">
    <w:abstractNumId w:val="2"/>
    <w:lvlOverride w:ilvl="0">
      <w:startOverride w:val="1"/>
    </w:lvlOverride>
  </w:num>
  <w:num w:numId="4" w16cid:durableId="624507334">
    <w:abstractNumId w:val="6"/>
    <w:lvlOverride w:ilvl="0">
      <w:startOverride w:val="1"/>
    </w:lvlOverride>
  </w:num>
  <w:num w:numId="5" w16cid:durableId="1079716947">
    <w:abstractNumId w:val="0"/>
    <w:lvlOverride w:ilvl="0">
      <w:startOverride w:val="1"/>
    </w:lvlOverride>
  </w:num>
  <w:num w:numId="6" w16cid:durableId="71393775">
    <w:abstractNumId w:val="4"/>
    <w:lvlOverride w:ilvl="0">
      <w:startOverride w:val="1"/>
    </w:lvlOverride>
  </w:num>
  <w:num w:numId="7" w16cid:durableId="7343286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259"/>
  <w:displayBackgroundShape/>
  <w:activeWritingStyle w:appName="MSWord" w:lang="de-DE" w:vendorID="64" w:dllVersion="4096" w:nlCheck="1" w:checkStyle="0"/>
  <w:activeWritingStyle w:appName="MSWord" w:lang="en-GB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25A5"/>
    <w:rsid w:val="00064D22"/>
    <w:rsid w:val="001D5305"/>
    <w:rsid w:val="002B6AA5"/>
    <w:rsid w:val="002C33F2"/>
    <w:rsid w:val="002E7223"/>
    <w:rsid w:val="0032655B"/>
    <w:rsid w:val="003E024E"/>
    <w:rsid w:val="00474BB0"/>
    <w:rsid w:val="004F4959"/>
    <w:rsid w:val="005960E2"/>
    <w:rsid w:val="00686FA7"/>
    <w:rsid w:val="007225A5"/>
    <w:rsid w:val="00763ECD"/>
    <w:rsid w:val="007F5C09"/>
    <w:rsid w:val="008A700E"/>
    <w:rsid w:val="00922807"/>
    <w:rsid w:val="009242BA"/>
    <w:rsid w:val="009C3CE7"/>
    <w:rsid w:val="00AE2CBB"/>
    <w:rsid w:val="00BB41CB"/>
    <w:rsid w:val="00D5357A"/>
    <w:rsid w:val="00D55BC6"/>
    <w:rsid w:val="00E124F3"/>
    <w:rsid w:val="00F747BC"/>
    <w:rsid w:val="00FF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4D5F7"/>
  <w15:docId w15:val="{AE0649B0-6F5E-D14C-B800-24698CE6A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F00D1"/>
  </w:style>
  <w:style w:type="paragraph" w:styleId="berschrift1">
    <w:name w:val="heading 1"/>
    <w:uiPriority w:val="9"/>
    <w:qFormat/>
    <w:pPr>
      <w:spacing w:before="360" w:after="160"/>
      <w:outlineLvl w:val="0"/>
    </w:pPr>
    <w:rPr>
      <w:b/>
      <w:bCs/>
      <w:color w:val="1E1A4B"/>
      <w:sz w:val="32"/>
      <w:szCs w:val="32"/>
    </w:rPr>
  </w:style>
  <w:style w:type="paragraph" w:styleId="berschrift2">
    <w:name w:val="heading 2"/>
    <w:uiPriority w:val="9"/>
    <w:unhideWhenUsed/>
    <w:qFormat/>
    <w:pPr>
      <w:spacing w:before="240" w:after="120"/>
      <w:outlineLvl w:val="1"/>
    </w:pPr>
    <w:rPr>
      <w:b/>
      <w:bCs/>
      <w:color w:val="1E1A4B"/>
      <w:sz w:val="26"/>
      <w:szCs w:val="26"/>
    </w:rPr>
  </w:style>
  <w:style w:type="paragraph" w:styleId="berschrift3">
    <w:name w:val="heading 3"/>
    <w:uiPriority w:val="9"/>
    <w:unhideWhenUsed/>
    <w:qFormat/>
    <w:rsid w:val="00763ECD"/>
    <w:pPr>
      <w:spacing w:after="240"/>
      <w:outlineLvl w:val="2"/>
    </w:pPr>
    <w:rPr>
      <w:color w:val="1F4D78"/>
      <w:sz w:val="24"/>
      <w:szCs w:val="24"/>
    </w:rPr>
  </w:style>
  <w:style w:type="paragraph" w:styleId="berschrift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erschrift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erschrift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Titel">
    <w:name w:val="Title"/>
    <w:uiPriority w:val="10"/>
    <w:qFormat/>
    <w:rPr>
      <w:sz w:val="56"/>
      <w:szCs w:val="56"/>
    </w:rPr>
  </w:style>
  <w:style w:type="paragraph" w:customStyle="1" w:styleId="Fett1">
    <w:name w:val="Fett1"/>
    <w:qFormat/>
    <w:rPr>
      <w:b/>
      <w:bCs/>
    </w:rPr>
  </w:style>
  <w:style w:type="paragraph" w:styleId="Listenabsatz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unotenzeichen">
    <w:name w:val="footnote reference"/>
    <w:uiPriority w:val="99"/>
    <w:semiHidden/>
    <w:unhideWhenUsed/>
    <w:rPr>
      <w:vertAlign w:val="superscript"/>
    </w:rPr>
  </w:style>
  <w:style w:type="paragraph" w:styleId="Funotentext">
    <w:name w:val="footnote text"/>
    <w:link w:val="FunotentextZchn"/>
    <w:uiPriority w:val="99"/>
    <w:semiHidden/>
    <w:unhideWhenUsed/>
    <w:rPr>
      <w:sz w:val="20"/>
      <w:szCs w:val="20"/>
    </w:rPr>
  </w:style>
  <w:style w:type="character" w:customStyle="1" w:styleId="FunotentextZchn">
    <w:name w:val="Fußnotentext Zchn"/>
    <w:link w:val="Funotentext"/>
    <w:uiPriority w:val="99"/>
    <w:semiHidden/>
    <w:unhideWhenUsed/>
    <w:rPr>
      <w:sz w:val="20"/>
      <w:szCs w:val="20"/>
    </w:rPr>
  </w:style>
  <w:style w:type="character" w:styleId="Endnotenzeichen">
    <w:name w:val="endnote reference"/>
    <w:uiPriority w:val="99"/>
    <w:semiHidden/>
    <w:unhideWhenUsed/>
    <w:rPr>
      <w:vertAlign w:val="superscript"/>
    </w:rPr>
  </w:style>
  <w:style w:type="paragraph" w:styleId="Endnotentext">
    <w:name w:val="endnote text"/>
    <w:link w:val="EndnotentextZchn"/>
    <w:uiPriority w:val="99"/>
    <w:semiHidden/>
    <w:unhideWhenUsed/>
    <w:rPr>
      <w:sz w:val="20"/>
      <w:szCs w:val="20"/>
    </w:rPr>
  </w:style>
  <w:style w:type="character" w:customStyle="1" w:styleId="EndnotentextZchn">
    <w:name w:val="Endnotentext Zchn"/>
    <w:link w:val="Endnotentext"/>
    <w:uiPriority w:val="99"/>
    <w:semiHidden/>
    <w:unhideWhenUsed/>
    <w:rPr>
      <w:sz w:val="20"/>
      <w:szCs w:val="20"/>
    </w:rPr>
  </w:style>
  <w:style w:type="paragraph" w:customStyle="1" w:styleId="Style">
    <w:name w:val="Style"/>
    <w:rsid w:val="00FF00D1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sz w:val="24"/>
      <w:szCs w:val="24"/>
      <w:lang w:val="en-US" w:eastAsia="zh-CN"/>
    </w:rPr>
  </w:style>
  <w:style w:type="paragraph" w:styleId="Kopfzeile">
    <w:name w:val="header"/>
    <w:basedOn w:val="Standard"/>
    <w:link w:val="KopfzeileZchn"/>
    <w:uiPriority w:val="99"/>
    <w:unhideWhenUsed/>
    <w:rsid w:val="00FF00D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FF00D1"/>
  </w:style>
  <w:style w:type="paragraph" w:styleId="Fuzeile">
    <w:name w:val="footer"/>
    <w:basedOn w:val="Standard"/>
    <w:link w:val="FuzeileZchn"/>
    <w:uiPriority w:val="99"/>
    <w:unhideWhenUsed/>
    <w:rsid w:val="00FF00D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FF00D1"/>
  </w:style>
  <w:style w:type="character" w:styleId="BesuchterLink">
    <w:name w:val="FollowedHyperlink"/>
    <w:basedOn w:val="Absatz-Standardschriftart"/>
    <w:uiPriority w:val="99"/>
    <w:semiHidden/>
    <w:unhideWhenUsed/>
    <w:rsid w:val="00763E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pwa.lupmis4luspa.org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upmis.ammonvictor.com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pwa.lupmis4luspa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upmis.ammonvictor.com" TargetMode="External"/><Relationship Id="rId14" Type="http://schemas.openxmlformats.org/officeDocument/2006/relationships/footer" Target="footer1.xml"/><Relationship Id="rId17" Type="http://schemas.openxmlformats.org/officeDocument/2006/relationships/header" Target="header2.xml"/><Relationship Id="rId18" Type="http://schemas.openxmlformats.org/officeDocument/2006/relationships/footer" Target="footer2.xml"/><Relationship Id="rId19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30</Pages>
  <Words>9419</Words>
  <Characters>61321</Characters>
  <Application>Microsoft Office Word</Application>
  <DocSecurity>0</DocSecurity>
  <Lines>1657</Lines>
  <Paragraphs>1645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17</vt:i4>
      </vt:variant>
    </vt:vector>
  </HeadingPairs>
  <TitlesOfParts>
    <vt:vector size="18" baseType="lpstr">
      <vt:lpstr/>
      <vt:lpstr>1. Executive Summary</vt:lpstr>
      <vt:lpstr>2. Project Background</vt:lpstr>
      <vt:lpstr>3. Current Development Status</vt:lpstr>
      <vt:lpstr>4. Comparison with Functional Specifications</vt:lpstr>
      <vt:lpstr>5. Design &amp; Brand Compliance</vt:lpstr>
      <vt:lpstr>6. Stakeholder Engagement Summary</vt:lpstr>
      <vt:lpstr>    Key Findings</vt:lpstr>
      <vt:lpstr>    Integration Priorities</vt:lpstr>
      <vt:lpstr>7. Pilot District Workshop Feedback</vt:lpstr>
      <vt:lpstr>    Public Portal</vt:lpstr>
      <vt:lpstr>    District Backend</vt:lpstr>
      <vt:lpstr>    Drawing and Measurement Tools</vt:lpstr>
      <vt:lpstr>    Parcel Generator</vt:lpstr>
      <vt:lpstr>8. Technical Architecture Overview</vt:lpstr>
      <vt:lpstr>9. Deployment &amp; Access</vt:lpstr>
      <vt:lpstr>10. Upcoming Work &amp; Recommendations</vt:lpstr>
      <vt:lpstr>11. Conclusion</vt:lpstr>
    </vt:vector>
  </TitlesOfParts>
  <Company/>
  <LinksUpToDate>false</LinksUpToDate>
  <CharactersWithSpaces>69095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Ekkehardt Roth</cp:lastModifiedBy>
  <cp:revision>12</cp:revision>
  <dcterms:created xsi:type="dcterms:W3CDTF">2026-04-28T08:03:00Z</dcterms:created>
  <dcterms:modified xsi:type="dcterms:W3CDTF">2026-06-29T14:10:00Z</dcterms:modified>
  <dc:title>LUPMIS2 — ECMWF open data assessment</dc:title>
</cp:coreProperties>
</file>