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69EA7" w14:textId="77777777" w:rsidR="007225A5" w:rsidRPr="003E024E" w:rsidRDefault="00FF00D1">
      <w:pPr>
        <w:spacing w:before="3000"/>
        <w:rPr>
          <w:lang w:val="en-GB"/>
        </w:rPr>
      </w:pPr>
      <w:r>
        <w:rPr>
          <w:rFonts w:ascii="IBM Plex Sans" w:eastAsia="Arial" w:hAnsi="IBM Plex Sans" w:cs="Arial"/>
          <w:noProof/>
          <w:lang w:val="en-GB"/>
        </w:rPr>
        <w:drawing>
          <wp:anchor distT="0" distB="0" distL="114300" distR="114300" simplePos="0" relativeHeight="251659264" behindDoc="1" locked="0" layoutInCell="1" allowOverlap="1" wp14:anchorId="1BDEF08B" wp14:editId="52BED425">
            <wp:simplePos x="0" y="0"/>
            <wp:positionH relativeFrom="column">
              <wp:posOffset>79375</wp:posOffset>
            </wp:positionH>
            <wp:positionV relativeFrom="paragraph">
              <wp:posOffset>701813</wp:posOffset>
            </wp:positionV>
            <wp:extent cx="6094730" cy="8616950"/>
            <wp:effectExtent l="0" t="0" r="1270" b="6350"/>
            <wp:wrapNone/>
            <wp:docPr id="13547029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02900" name="Grafik 1354702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94730" cy="8616950"/>
                    </a:xfrm>
                    <a:prstGeom prst="rect">
                      <a:avLst/>
                    </a:prstGeom>
                  </pic:spPr>
                </pic:pic>
              </a:graphicData>
            </a:graphic>
            <wp14:sizeRelH relativeFrom="margin">
              <wp14:pctWidth>0</wp14:pctWidth>
            </wp14:sizeRelH>
            <wp14:sizeRelV relativeFrom="margin">
              <wp14:pctHeight>0</wp14:pctHeight>
            </wp14:sizeRelV>
          </wp:anchor>
        </w:drawing>
      </w:r>
    </w:p>
    <w:p w14:paraId="3CD155B8" w14:textId="77777777" w:rsidR="00FF00D1" w:rsidRPr="003E024E" w:rsidRDefault="00FF00D1" w:rsidP="00FF00D1">
      <w:pPr>
        <w:pStyle w:val="Style"/>
        <w:spacing w:line="946" w:lineRule="exact"/>
        <w:ind w:left="1718"/>
        <w:textAlignment w:val="baseline"/>
        <w:rPr>
          <w:rFonts w:ascii="IBM Plex Sans" w:hAnsi="IBM Plex Sans"/>
          <w:lang w:val="en-GB"/>
        </w:rPr>
      </w:pPr>
      <w:r>
        <w:rPr>
          <w:rFonts w:ascii="IBM Plex Sans" w:eastAsia="Courier New" w:hAnsi="IBM Plex Sans" w:cs="Courier New"/>
          <w:w w:val="78"/>
          <w:sz w:val="76"/>
          <w:szCs w:val="76"/>
          <w:lang w:val="en-GB"/>
        </w:rPr>
        <w:t>GHANA</w:t>
      </w:r>
    </w:p>
    <w:p w14:paraId="45D240A5" w14:textId="77777777" w:rsidR="00FF00D1" w:rsidRPr="003E024E" w:rsidRDefault="00FF00D1" w:rsidP="00FF00D1">
      <w:pPr>
        <w:pStyle w:val="Style"/>
        <w:spacing w:before="4" w:line="432" w:lineRule="exact"/>
        <w:ind w:left="1704"/>
        <w:textAlignment w:val="baseline"/>
        <w:rPr>
          <w:rFonts w:ascii="IBM Plex Sans" w:hAnsi="IBM Plex Sans"/>
          <w:lang w:val="en-GB"/>
        </w:rPr>
      </w:pPr>
      <w:r>
        <w:rPr>
          <w:rFonts w:ascii="IBM Plex Sans" w:eastAsia="Arial" w:hAnsi="IBM Plex Sans" w:cs="Arial"/>
          <w:sz w:val="31"/>
          <w:szCs w:val="31"/>
          <w:lang w:val="en-GB"/>
        </w:rPr>
        <w:t xml:space="preserve">Development of a Spatial Planning and Management Information System for Ghana </w:t>
      </w:r>
    </w:p>
    <w:p w14:paraId="2E06DAC0" w14:textId="77777777" w:rsidR="00FF00D1" w:rsidRPr="003E024E" w:rsidRDefault="00FF00D1" w:rsidP="00FF00D1">
      <w:pPr>
        <w:spacing w:before="240"/>
        <w:jc w:val="center"/>
        <w:rPr>
          <w:rFonts w:ascii="IBM Plex Sans" w:eastAsia="Arial" w:hAnsi="IBM Plex Sans" w:cs="Arial"/>
          <w:lang w:val="en-GB"/>
        </w:rPr>
      </w:pPr>
      <w:r>
        <w:rPr>
          <w:b/>
          <w:bCs/>
          <w:color w:val="1E1A4B"/>
          <w:sz w:val="28"/>
          <w:szCs w:val="28"/>
          <w:lang w:val="en-GB"/>
        </w:rPr>
        <w:t xml:space="preserve">LUPMIS2 </w:t>
      </w:r>
      <w:r>
        <w:rPr>
          <w:rFonts w:ascii="IBM Plex Sans" w:eastAsia="Arial" w:hAnsi="IBM Plex Sans" w:cs="Arial"/>
          <w:lang w:val="en-GB"/>
        </w:rPr>
        <w:t xml:space="preserve">Spatial Analysis — User Guide </w:t>
      </w:r>
    </w:p>
    <w:p w14:paraId="5802C54D" w14:textId="77777777" w:rsidR="00FF00D1" w:rsidRPr="003E024E" w:rsidRDefault="00FF00D1" w:rsidP="00FF00D1">
      <w:pPr>
        <w:spacing w:before="240"/>
        <w:jc w:val="center"/>
        <w:rPr>
          <w:rFonts w:ascii="IBM Plex Sans" w:eastAsia="Arial" w:hAnsi="IBM Plex Sans" w:cs="Arial"/>
          <w:lang w:val="en-GB"/>
        </w:rPr>
      </w:pPr>
      <w:r>
        <w:rPr>
          <w:rFonts w:ascii="IBM Plex Sans" w:eastAsia="Arial" w:hAnsi="IBM Plex Sans" w:cs="Arial"/>
          <w:lang w:val="en-GB"/>
        </w:rPr>
        <w:t>Stage 1  ·  July 2026</w:t>
      </w:r>
    </w:p>
    <w:p w14:paraId="7D57F4BC" w14:textId="77777777" w:rsidR="007225A5" w:rsidRPr="003E024E" w:rsidRDefault="007225A5">
      <w:pPr>
        <w:jc w:val="center"/>
        <w:rPr>
          <w:lang w:val="en-GB"/>
        </w:rPr>
      </w:pPr>
    </w:p>
    <w:p w14:paraId="3254C15D" w14:textId="77777777" w:rsidR="007225A5" w:rsidRPr="003E024E" w:rsidRDefault="007225A5">
      <w:pPr>
        <w:rPr>
          <w:lang w:val="en-GB"/>
        </w:rPr>
        <w:sectPr w:rsidR="007225A5" w:rsidRPr="003E024E">
          <w:pgSz w:w="11906" w:h="16838"/>
          <w:pgMar w:top="1440" w:right="1440" w:bottom="1440" w:left="1440" w:header="708" w:footer="708" w:gutter="0"/>
          <w:cols w:space="720"/>
          <w:docGrid w:linePitch="360"/>
        </w:sectPr>
      </w:pPr>
    </w:p>
    <w:p>
      <w:pPr>
        <w:pStyle w:val="berschrift1"/>
      </w:pPr>
      <w:r>
        <w:t>Spatial Analysis (Analyse) — User Guide</w:t>
      </w:r>
    </w:p>
    <w:p>
      <w:pPr>
        <w:spacing w:after="200"/>
      </w:pPr>
      <w:r>
        <w:rPr>
          <w:rFonts w:ascii="Calibri" w:hAnsi="Calibri"/>
          <w:b w:val="0"/>
          <w:i/>
          <w:color w:val="6B7280"/>
          <w:sz w:val="20"/>
        </w:rPr>
        <w:t>LUPMIS2 Stage 1  ·  Overlays and Zonal Statistics  ·  July 2026</w:t>
      </w:r>
    </w:p>
    <w:p>
      <w:pPr>
        <w:pStyle w:val="berschrift1"/>
      </w:pPr>
      <w:r>
        <w:t>1. What Analyse does</w:t>
      </w:r>
    </w:p>
    <w:p>
      <w:pPr>
        <w:spacing w:after="120"/>
      </w:pPr>
      <w:r>
        <w:rPr>
          <w:rFonts w:ascii="Calibri" w:hAnsi="Calibri"/>
          <w:b w:val="0"/>
          <w:i w:val="0"/>
          <w:color w:val="333333"/>
          <w:sz w:val="22"/>
        </w:rPr>
        <w:t>The Analyse tool answers spatial questions about the data already on your map — for example “which parcels fall inside this zone?” or “how many parcels are in each collector zone, and what is their average size?”. It produces a new map layer that you can style, inspect and export.</w:t>
      </w:r>
    </w:p>
    <w:p>
      <w:pPr>
        <w:spacing w:after="120"/>
      </w:pPr>
      <w:r>
        <w:rPr>
          <w:rFonts w:ascii="Calibri" w:hAnsi="Calibri"/>
          <w:b/>
          <w:i w:val="0"/>
          <w:color w:val="333333"/>
          <w:sz w:val="22"/>
        </w:rPr>
        <w:t>Everything in Stage 1 runs inside your browser, so it also works offline in the field.</w:t>
      </w:r>
    </w:p>
    <w:p>
      <w:pPr>
        <w:spacing w:after="60"/>
      </w:pPr>
      <w:r>
        <w:rPr>
          <w:rFonts w:ascii="Calibri" w:hAnsi="Calibri"/>
          <w:b w:val="0"/>
          <w:i w:val="0"/>
          <w:color w:val="333333"/>
          <w:sz w:val="22"/>
        </w:rPr>
        <w:t>Two families of analysis are available:</w:t>
      </w:r>
    </w:p>
    <w:p>
      <w:pPr>
        <w:spacing w:after="60"/>
        <w:ind w:left="403" w:hanging="259"/>
      </w:pPr>
      <w:r>
        <w:rPr>
          <w:rFonts w:ascii="Calibri" w:hAnsi="Calibri"/>
          <w:b/>
          <w:color w:val="1E1A4B"/>
          <w:sz w:val="22"/>
        </w:rPr>
        <w:t>•</w:t>
        <w:tab/>
      </w:r>
      <w:r>
        <w:rPr>
          <w:rFonts w:ascii="Calibri" w:hAnsi="Calibri"/>
          <w:b/>
          <w:i w:val="0"/>
          <w:color w:val="333333"/>
          <w:sz w:val="22"/>
        </w:rPr>
        <w:t>Overlays</w:t>
      </w:r>
      <w:r>
        <w:rPr>
          <w:rFonts w:ascii="Calibri" w:hAnsi="Calibri"/>
          <w:b w:val="0"/>
          <w:i w:val="0"/>
          <w:color w:val="333333"/>
          <w:sz w:val="22"/>
        </w:rPr>
        <w:t xml:space="preserve"> — combine two layers to find where they intersect, differ or coincide.</w:t>
      </w:r>
    </w:p>
    <w:p>
      <w:pPr>
        <w:spacing w:after="60"/>
        <w:ind w:left="403" w:hanging="259"/>
      </w:pPr>
      <w:r>
        <w:rPr>
          <w:rFonts w:ascii="Calibri" w:hAnsi="Calibri"/>
          <w:b/>
          <w:color w:val="1E1A4B"/>
          <w:sz w:val="22"/>
        </w:rPr>
        <w:t>•</w:t>
        <w:tab/>
      </w:r>
      <w:r>
        <w:rPr>
          <w:rFonts w:ascii="Calibri" w:hAnsi="Calibri"/>
          <w:b/>
          <w:i w:val="0"/>
          <w:color w:val="333333"/>
          <w:sz w:val="22"/>
        </w:rPr>
        <w:t>Zonal statistics</w:t>
      </w:r>
      <w:r>
        <w:rPr>
          <w:rFonts w:ascii="Calibri" w:hAnsi="Calibri"/>
          <w:b w:val="0"/>
          <w:i w:val="0"/>
          <w:color w:val="333333"/>
          <w:sz w:val="22"/>
        </w:rPr>
        <w:t xml:space="preserve"> — summarise features (or one of their numeric fields) per zone.</w:t>
      </w:r>
    </w:p>
    <w:p>
      <w:pPr>
        <w:pStyle w:val="berschrift1"/>
      </w:pPr>
      <w:r>
        <w:t>2. Before you start — which layers must be open</w:t>
      </w:r>
    </w:p>
    <w:p>
      <w:pPr>
        <w:spacing w:after="120"/>
      </w:pPr>
      <w:r>
        <w:rPr>
          <w:rFonts w:ascii="Calibri" w:hAnsi="Calibri"/>
          <w:b w:val="0"/>
          <w:i w:val="0"/>
          <w:color w:val="333333"/>
          <w:sz w:val="22"/>
        </w:rPr>
        <w:t>The analysis works on layers that are already loaded in the map. A layer appears in the Analyse drop-down lists when it meets these conditions:</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2304"/>
            <w:shd w:val="clear" w:fill="1E1A4B"/>
          </w:tcPr>
          <w:p>
            <w:pPr>
              <w:spacing w:after="20" w:before="20"/>
            </w:pPr>
            <w:r/>
            <w:r>
              <w:rPr>
                <w:rFonts w:ascii="Calibri" w:hAnsi="Calibri"/>
                <w:b/>
                <w:color w:val="FFFFFF"/>
                <w:sz w:val="20"/>
              </w:rPr>
              <w:t>Condition</w:t>
            </w:r>
          </w:p>
        </w:tc>
        <w:tc>
          <w:tcPr>
            <w:tcW w:type="dxa" w:w="7632"/>
            <w:shd w:val="clear" w:fill="1E1A4B"/>
          </w:tcPr>
          <w:p>
            <w:pPr>
              <w:spacing w:after="20" w:before="20"/>
            </w:pPr>
            <w:r/>
            <w:r>
              <w:rPr>
                <w:rFonts w:ascii="Calibri" w:hAnsi="Calibri"/>
                <w:b/>
                <w:color w:val="FFFFFF"/>
                <w:sz w:val="20"/>
              </w:rPr>
              <w:t>Detail</w:t>
            </w:r>
          </w:p>
        </w:tc>
      </w:tr>
      <w:tr>
        <w:trPr>
          <w:cantSplit/>
        </w:trPr>
        <w:tc>
          <w:tcPr>
            <w:tcW w:type="dxa" w:w="2304"/>
            <w:shd w:val="clear" w:fill="FFFFFF"/>
          </w:tcPr>
          <w:p>
            <w:pPr>
              <w:spacing w:after="20" w:before="20"/>
            </w:pPr>
            <w:r/>
            <w:r>
              <w:rPr>
                <w:rFonts w:ascii="Calibri" w:hAnsi="Calibri"/>
                <w:b/>
                <w:color w:val="333333"/>
                <w:sz w:val="19"/>
              </w:rPr>
              <w:t>Vector layer</w:t>
            </w:r>
          </w:p>
        </w:tc>
        <w:tc>
          <w:tcPr>
            <w:tcW w:type="dxa" w:w="7632"/>
            <w:shd w:val="clear" w:fill="FFFFFF"/>
          </w:tcPr>
          <w:p>
            <w:pPr>
              <w:spacing w:after="20" w:before="20"/>
            </w:pPr>
            <w:r/>
            <w:r>
              <w:rPr>
                <w:rFonts w:ascii="Calibri" w:hAnsi="Calibri"/>
                <w:b w:val="0"/>
                <w:color w:val="333333"/>
                <w:sz w:val="19"/>
              </w:rPr>
              <w:t>Parcels, zones, roads, drawn features, imported files. Raster layers (WMS, COG) cannot be analysed in Stage 1 — they are for display only.</w:t>
            </w:r>
          </w:p>
        </w:tc>
      </w:tr>
      <w:tr>
        <w:trPr>
          <w:cantSplit/>
        </w:trPr>
        <w:tc>
          <w:tcPr>
            <w:tcW w:type="dxa" w:w="2304"/>
            <w:shd w:val="clear" w:fill="F0F0F8"/>
          </w:tcPr>
          <w:p>
            <w:pPr>
              <w:spacing w:after="20" w:before="20"/>
            </w:pPr>
            <w:r/>
            <w:r>
              <w:rPr>
                <w:rFonts w:ascii="Calibri" w:hAnsi="Calibri"/>
                <w:b/>
                <w:color w:val="333333"/>
                <w:sz w:val="19"/>
              </w:rPr>
              <w:t>Contains features</w:t>
            </w:r>
          </w:p>
        </w:tc>
        <w:tc>
          <w:tcPr>
            <w:tcW w:type="dxa" w:w="7632"/>
            <w:shd w:val="clear" w:fill="F0F0F8"/>
          </w:tcPr>
          <w:p>
            <w:pPr>
              <w:spacing w:after="20" w:before="20"/>
            </w:pPr>
            <w:r/>
            <w:r>
              <w:rPr>
                <w:rFonts w:ascii="Calibri" w:hAnsi="Calibri"/>
                <w:b w:val="0"/>
                <w:color w:val="333333"/>
                <w:sz w:val="19"/>
              </w:rPr>
              <w:t>The layer must have at least one feature loaded. Empty layers are hidden from the lists.</w:t>
            </w:r>
          </w:p>
        </w:tc>
      </w:tr>
      <w:tr>
        <w:trPr>
          <w:cantSplit/>
        </w:trPr>
        <w:tc>
          <w:tcPr>
            <w:tcW w:type="dxa" w:w="2304"/>
            <w:shd w:val="clear" w:fill="FFFFFF"/>
          </w:tcPr>
          <w:p>
            <w:pPr>
              <w:spacing w:after="20" w:before="20"/>
            </w:pPr>
            <w:r/>
            <w:r>
              <w:rPr>
                <w:rFonts w:ascii="Calibri" w:hAnsi="Calibri"/>
                <w:b/>
                <w:color w:val="333333"/>
                <w:sz w:val="19"/>
              </w:rPr>
              <w:t>Not a helper layer</w:t>
            </w:r>
          </w:p>
        </w:tc>
        <w:tc>
          <w:tcPr>
            <w:tcW w:type="dxa" w:w="7632"/>
            <w:shd w:val="clear" w:fill="FFFFFF"/>
          </w:tcPr>
          <w:p>
            <w:pPr>
              <w:spacing w:after="20" w:before="20"/>
            </w:pPr>
            <w:r/>
            <w:r>
              <w:rPr>
                <w:rFonts w:ascii="Calibri" w:hAnsi="Calibri"/>
                <w:b w:val="0"/>
                <w:color w:val="333333"/>
                <w:sz w:val="19"/>
              </w:rPr>
              <w:t>System layers — the vertex-edit dots, GPS trail and GPS position — are excluded automatically.</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1E1A4B"/>
                <w:sz w:val="21"/>
              </w:rPr>
              <w:t xml:space="preserve">The layer does not have to be switched on. </w:t>
            </w:r>
            <w:r>
              <w:rPr>
                <w:rFonts w:ascii="Calibri" w:hAnsi="Calibri"/>
                <w:b w:val="0"/>
                <w:color w:val="1E1A4B"/>
                <w:sz w:val="21"/>
              </w:rPr>
              <w:t>A layer that is loaded but hidden in the Layer Switcher still appears in the lists and can be analysed. What matters is that its data has been loaded — so zoom to your district first and let the parcels and zones finish loading before you open Analyse.</w:t>
            </w:r>
          </w:p>
        </w:tc>
      </w:tr>
    </w:tbl>
    <w:p>
      <w:pPr>
        <w:spacing w:after="80"/>
      </w:pPr>
    </w:p>
    <w:p>
      <w:pPr>
        <w:spacing w:after="120"/>
      </w:pPr>
      <w:r>
        <w:rPr>
          <w:rFonts w:ascii="Calibri" w:hAnsi="Calibri"/>
          <w:b w:val="0"/>
          <w:i w:val="0"/>
          <w:color w:val="333333"/>
          <w:sz w:val="22"/>
        </w:rPr>
        <w:t xml:space="preserve">Each entry in the list shows the layer name followed by its feature count, for example </w:t>
      </w:r>
      <w:r>
        <w:rPr>
          <w:rFonts w:ascii="Calibri" w:hAnsi="Calibri"/>
          <w:b/>
          <w:i w:val="0"/>
          <w:color w:val="333333"/>
          <w:sz w:val="22"/>
        </w:rPr>
        <w:t>Parcels (25,004)</w:t>
      </w:r>
      <w:r>
        <w:rPr>
          <w:rFonts w:ascii="Calibri" w:hAnsi="Calibri"/>
          <w:b w:val="0"/>
          <w:i w:val="0"/>
          <w:color w:val="333333"/>
          <w:sz w:val="22"/>
        </w:rPr>
        <w:t>. Use this to confirm the data you expect is actually loaded.</w:t>
      </w:r>
    </w:p>
    <w:p>
      <w:pPr>
        <w:pStyle w:val="berschrift1"/>
      </w:pPr>
      <w:r>
        <w:t>3. Opening the Analyse panel</w:t>
      </w:r>
    </w:p>
    <w:p>
      <w:pPr>
        <w:spacing w:after="120"/>
      </w:pPr>
      <w:r>
        <w:rPr>
          <w:rFonts w:ascii="Calibri" w:hAnsi="Calibri"/>
          <w:b w:val="0"/>
          <w:i w:val="0"/>
          <w:color w:val="333333"/>
          <w:sz w:val="22"/>
        </w:rPr>
        <w:t>There are two ways in, and they differ only in what the analysis is applied to.</w:t>
      </w:r>
    </w:p>
    <w:p>
      <w:pPr>
        <w:pStyle w:val="berschrift2"/>
      </w:pPr>
      <w:r>
        <w:t>3.1 From the toolbar</w:t>
      </w:r>
    </w:p>
    <w:p>
      <w:pPr>
        <w:spacing w:after="120"/>
      </w:pPr>
      <w:r>
        <w:rPr>
          <w:rFonts w:ascii="Calibri" w:hAnsi="Calibri"/>
          <w:b w:val="0"/>
          <w:i w:val="0"/>
          <w:color w:val="333333"/>
          <w:sz w:val="22"/>
        </w:rPr>
        <w:t xml:space="preserve">Click the </w:t>
      </w:r>
      <w:r>
        <w:rPr>
          <w:rFonts w:ascii="Calibri" w:hAnsi="Calibri"/>
          <w:b/>
          <w:i w:val="0"/>
          <w:color w:val="333333"/>
          <w:sz w:val="22"/>
        </w:rPr>
        <w:t>🧮 Analyse</w:t>
      </w:r>
      <w:r>
        <w:rPr>
          <w:rFonts w:ascii="Calibri" w:hAnsi="Calibri"/>
          <w:b w:val="0"/>
          <w:i w:val="0"/>
          <w:color w:val="333333"/>
          <w:sz w:val="22"/>
        </w:rPr>
        <w:t xml:space="preserve"> button in the bottom toolbar. Use this route for whole-layer work — for example a district-wide summary of parcels per zone.</w:t>
      </w:r>
    </w:p>
    <w:p>
      <w:pPr>
        <w:pStyle w:val="berschrift2"/>
      </w:pPr>
      <w:r>
        <w:t>3.2 From a Circle or Area measurement</w:t>
      </w:r>
    </w:p>
    <w:p>
      <w:pPr>
        <w:spacing w:after="120"/>
      </w:pPr>
      <w:r>
        <w:rPr>
          <w:rFonts w:ascii="Calibri" w:hAnsi="Calibri"/>
          <w:b w:val="0"/>
          <w:i w:val="0"/>
          <w:color w:val="333333"/>
          <w:sz w:val="22"/>
        </w:rPr>
        <w:t>Use this route when you want to analyse one area of interest.</w:t>
      </w:r>
    </w:p>
    <w:p>
      <w:pPr>
        <w:spacing w:after="80"/>
        <w:ind w:left="490" w:hanging="490"/>
      </w:pPr>
      <w:r>
        <w:rPr>
          <w:rFonts w:ascii="Calibri" w:hAnsi="Calibri"/>
          <w:b/>
          <w:color w:val="16A34A"/>
          <w:sz w:val="22"/>
        </w:rPr>
        <w:t>1.</w:t>
        <w:tab/>
      </w:r>
      <w:r>
        <w:rPr>
          <w:rFonts w:ascii="Calibri" w:hAnsi="Calibri"/>
          <w:b w:val="0"/>
          <w:i w:val="0"/>
          <w:color w:val="333333"/>
          <w:sz w:val="22"/>
        </w:rPr>
        <w:t xml:space="preserve">Draw a circle or an area with the </w:t>
      </w:r>
      <w:r>
        <w:rPr>
          <w:rFonts w:ascii="Calibri" w:hAnsi="Calibri"/>
          <w:b/>
          <w:i w:val="0"/>
          <w:color w:val="333333"/>
          <w:sz w:val="22"/>
        </w:rPr>
        <w:t>Circle</w:t>
      </w:r>
      <w:r>
        <w:rPr>
          <w:rFonts w:ascii="Calibri" w:hAnsi="Calibri"/>
          <w:b w:val="0"/>
          <w:i w:val="0"/>
          <w:color w:val="333333"/>
          <w:sz w:val="22"/>
        </w:rPr>
        <w:t xml:space="preserve"> or </w:t>
      </w:r>
      <w:r>
        <w:rPr>
          <w:rFonts w:ascii="Calibri" w:hAnsi="Calibri"/>
          <w:b/>
          <w:i w:val="0"/>
          <w:color w:val="333333"/>
          <w:sz w:val="22"/>
        </w:rPr>
        <w:t>Area</w:t>
      </w:r>
      <w:r>
        <w:rPr>
          <w:rFonts w:ascii="Calibri" w:hAnsi="Calibri"/>
          <w:b w:val="0"/>
          <w:i w:val="0"/>
          <w:color w:val="333333"/>
          <w:sz w:val="22"/>
        </w:rPr>
        <w:t xml:space="preserve"> tool.</w:t>
      </w:r>
    </w:p>
    <w:p>
      <w:pPr>
        <w:spacing w:after="80"/>
        <w:ind w:left="490" w:hanging="490"/>
      </w:pPr>
      <w:r>
        <w:rPr>
          <w:rFonts w:ascii="Calibri" w:hAnsi="Calibri"/>
          <w:b/>
          <w:color w:val="16A34A"/>
          <w:sz w:val="22"/>
        </w:rPr>
        <w:t>2.</w:t>
        <w:tab/>
      </w:r>
      <w:r>
        <w:rPr>
          <w:rFonts w:ascii="Calibri" w:hAnsi="Calibri"/>
          <w:b w:val="0"/>
          <w:i w:val="0"/>
          <w:color w:val="333333"/>
          <w:sz w:val="22"/>
        </w:rPr>
        <w:t>The analysis pop-up lists what the shape caught.</w:t>
      </w:r>
    </w:p>
    <w:p>
      <w:pPr>
        <w:spacing w:after="80"/>
        <w:ind w:left="490" w:hanging="490"/>
      </w:pPr>
      <w:r>
        <w:rPr>
          <w:rFonts w:ascii="Calibri" w:hAnsi="Calibri"/>
          <w:b/>
          <w:color w:val="16A34A"/>
          <w:sz w:val="22"/>
        </w:rPr>
        <w:t>3.</w:t>
        <w:tab/>
      </w:r>
      <w:r>
        <w:rPr>
          <w:rFonts w:ascii="Calibri" w:hAnsi="Calibri"/>
          <w:b w:val="0"/>
          <w:i w:val="0"/>
          <w:color w:val="333333"/>
          <w:sz w:val="22"/>
        </w:rPr>
        <w:t xml:space="preserve">Click </w:t>
      </w:r>
      <w:r>
        <w:rPr>
          <w:rFonts w:ascii="Calibri" w:hAnsi="Calibri"/>
          <w:b/>
          <w:i w:val="0"/>
          <w:color w:val="333333"/>
          <w:sz w:val="22"/>
        </w:rPr>
        <w:t>🧮 Analyse</w:t>
      </w:r>
      <w:r>
        <w:rPr>
          <w:rFonts w:ascii="Calibri" w:hAnsi="Calibri"/>
          <w:b w:val="0"/>
          <w:i w:val="0"/>
          <w:color w:val="333333"/>
          <w:sz w:val="22"/>
        </w:rPr>
        <w:t xml:space="preserve"> in that pop-up.</w:t>
      </w:r>
    </w:p>
    <w:p>
      <w:pPr>
        <w:spacing w:after="120"/>
      </w:pPr>
      <w:r>
        <w:rPr>
          <w:rFonts w:ascii="Calibri" w:hAnsi="Calibri"/>
          <w:b w:val="0"/>
          <w:i w:val="0"/>
          <w:color w:val="333333"/>
          <w:sz w:val="22"/>
        </w:rPr>
        <w:t xml:space="preserve">The panel opens with the scope already set to the features your shape caught — shown as, for example, </w:t>
      </w:r>
      <w:r>
        <w:rPr>
          <w:rFonts w:ascii="Calibri" w:hAnsi="Calibri"/>
          <w:b/>
          <w:i w:val="0"/>
          <w:color w:val="333333"/>
          <w:sz w:val="22"/>
        </w:rPr>
        <w:t>From Circle Analysis (37 features)</w:t>
      </w:r>
      <w:r>
        <w:rPr>
          <w:rFonts w:ascii="Calibri" w:hAnsi="Calibri"/>
          <w:b w:val="0"/>
          <w:i w:val="0"/>
          <w:color w:val="333333"/>
          <w:sz w:val="22"/>
        </w:rPr>
        <w:t>.</w:t>
      </w:r>
    </w:p>
    <w:p>
      <w:pPr>
        <w:pStyle w:val="berschrift1"/>
      </w:pPr>
      <w:r>
        <w:t>4. Choosing what to analyse — “Apply to”</w:t>
      </w:r>
    </w:p>
    <w:p>
      <w:pPr>
        <w:spacing w:after="120"/>
      </w:pPr>
      <w:r>
        <w:rPr>
          <w:rFonts w:ascii="Calibri" w:hAnsi="Calibri"/>
          <w:b w:val="0"/>
          <w:i w:val="0"/>
          <w:color w:val="333333"/>
          <w:sz w:val="22"/>
        </w:rPr>
        <w:t>The Apply to list at the top of the panel limits which features take part. This is the main way to keep a large layer manageable and to focus on a specific area.</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024"/>
            <w:shd w:val="clear" w:fill="1E1A4B"/>
          </w:tcPr>
          <w:p>
            <w:pPr>
              <w:spacing w:after="20" w:before="20"/>
            </w:pPr>
            <w:r/>
            <w:r>
              <w:rPr>
                <w:rFonts w:ascii="Calibri" w:hAnsi="Calibri"/>
                <w:b/>
                <w:color w:val="FFFFFF"/>
                <w:sz w:val="20"/>
              </w:rPr>
              <w:t>Option</w:t>
            </w:r>
          </w:p>
        </w:tc>
        <w:tc>
          <w:tcPr>
            <w:tcW w:type="dxa" w:w="3312"/>
            <w:shd w:val="clear" w:fill="1E1A4B"/>
          </w:tcPr>
          <w:p>
            <w:pPr>
              <w:spacing w:after="20" w:before="20"/>
            </w:pPr>
            <w:r/>
            <w:r>
              <w:rPr>
                <w:rFonts w:ascii="Calibri" w:hAnsi="Calibri"/>
                <w:b/>
                <w:color w:val="FFFFFF"/>
                <w:sz w:val="20"/>
              </w:rPr>
              <w:t>What it uses</w:t>
            </w:r>
          </w:p>
        </w:tc>
        <w:tc>
          <w:tcPr>
            <w:tcW w:type="dxa" w:w="3600"/>
            <w:shd w:val="clear" w:fill="1E1A4B"/>
          </w:tcPr>
          <w:p>
            <w:pPr>
              <w:spacing w:after="20" w:before="20"/>
            </w:pPr>
            <w:r/>
            <w:r>
              <w:rPr>
                <w:rFonts w:ascii="Calibri" w:hAnsi="Calibri"/>
                <w:b/>
                <w:color w:val="FFFFFF"/>
                <w:sz w:val="20"/>
              </w:rPr>
              <w:t>When to use it</w:t>
            </w:r>
          </w:p>
        </w:tc>
      </w:tr>
      <w:tr>
        <w:trPr>
          <w:cantSplit/>
        </w:trPr>
        <w:tc>
          <w:tcPr>
            <w:tcW w:type="dxa" w:w="3024"/>
            <w:shd w:val="clear" w:fill="FFFFFF"/>
          </w:tcPr>
          <w:p>
            <w:pPr>
              <w:spacing w:after="20" w:before="20"/>
            </w:pPr>
            <w:r/>
            <w:r>
              <w:rPr>
                <w:rFonts w:ascii="Calibri" w:hAnsi="Calibri"/>
                <w:b/>
                <w:color w:val="333333"/>
                <w:sz w:val="19"/>
              </w:rPr>
              <w:t>Whole layer</w:t>
            </w:r>
          </w:p>
        </w:tc>
        <w:tc>
          <w:tcPr>
            <w:tcW w:type="dxa" w:w="3312"/>
            <w:shd w:val="clear" w:fill="FFFFFF"/>
          </w:tcPr>
          <w:p>
            <w:pPr>
              <w:spacing w:after="20" w:before="20"/>
            </w:pPr>
            <w:r/>
            <w:r>
              <w:rPr>
                <w:rFonts w:ascii="Calibri" w:hAnsi="Calibri"/>
                <w:b w:val="0"/>
                <w:color w:val="333333"/>
                <w:sz w:val="19"/>
              </w:rPr>
              <w:t>Every feature in the chosen layer</w:t>
            </w:r>
          </w:p>
        </w:tc>
        <w:tc>
          <w:tcPr>
            <w:tcW w:type="dxa" w:w="3600"/>
            <w:shd w:val="clear" w:fill="FFFFFF"/>
          </w:tcPr>
          <w:p>
            <w:pPr>
              <w:spacing w:after="20" w:before="20"/>
            </w:pPr>
            <w:r/>
            <w:r>
              <w:rPr>
                <w:rFonts w:ascii="Calibri" w:hAnsi="Calibri"/>
                <w:b w:val="0"/>
                <w:color w:val="333333"/>
                <w:sz w:val="19"/>
              </w:rPr>
              <w:t>District-wide summaries and reports</w:t>
            </w:r>
          </w:p>
        </w:tc>
      </w:tr>
      <w:tr>
        <w:trPr>
          <w:cantSplit/>
        </w:trPr>
        <w:tc>
          <w:tcPr>
            <w:tcW w:type="dxa" w:w="3024"/>
            <w:shd w:val="clear" w:fill="F0F0F8"/>
          </w:tcPr>
          <w:p>
            <w:pPr>
              <w:spacing w:after="20" w:before="20"/>
            </w:pPr>
            <w:r/>
            <w:r>
              <w:rPr>
                <w:rFonts w:ascii="Calibri" w:hAnsi="Calibri"/>
                <w:b/>
                <w:color w:val="333333"/>
                <w:sz w:val="19"/>
              </w:rPr>
              <w:t>Features in current map view</w:t>
            </w:r>
          </w:p>
        </w:tc>
        <w:tc>
          <w:tcPr>
            <w:tcW w:type="dxa" w:w="3312"/>
            <w:shd w:val="clear" w:fill="F0F0F8"/>
          </w:tcPr>
          <w:p>
            <w:pPr>
              <w:spacing w:after="20" w:before="20"/>
            </w:pPr>
            <w:r/>
            <w:r>
              <w:rPr>
                <w:rFonts w:ascii="Calibri" w:hAnsi="Calibri"/>
                <w:b w:val="0"/>
                <w:color w:val="333333"/>
                <w:sz w:val="19"/>
              </w:rPr>
              <w:t>Only what is inside the visible map window</w:t>
            </w:r>
          </w:p>
        </w:tc>
        <w:tc>
          <w:tcPr>
            <w:tcW w:type="dxa" w:w="3600"/>
            <w:shd w:val="clear" w:fill="F0F0F8"/>
          </w:tcPr>
          <w:p>
            <w:pPr>
              <w:spacing w:after="20" w:before="20"/>
            </w:pPr>
            <w:r/>
            <w:r>
              <w:rPr>
                <w:rFonts w:ascii="Calibri" w:hAnsi="Calibri"/>
                <w:b w:val="0"/>
                <w:color w:val="333333"/>
                <w:sz w:val="19"/>
              </w:rPr>
              <w:t>Zoom to a neighbourhood, then analyse just that</w:t>
            </w:r>
          </w:p>
        </w:tc>
      </w:tr>
      <w:tr>
        <w:trPr>
          <w:cantSplit/>
        </w:trPr>
        <w:tc>
          <w:tcPr>
            <w:tcW w:type="dxa" w:w="3024"/>
            <w:shd w:val="clear" w:fill="FFFFFF"/>
          </w:tcPr>
          <w:p>
            <w:pPr>
              <w:spacing w:after="20" w:before="20"/>
            </w:pPr>
            <w:r/>
            <w:r>
              <w:rPr>
                <w:rFonts w:ascii="Calibri" w:hAnsi="Calibri"/>
                <w:b/>
                <w:color w:val="333333"/>
                <w:sz w:val="19"/>
              </w:rPr>
              <w:t>Selected features only</w:t>
            </w:r>
          </w:p>
        </w:tc>
        <w:tc>
          <w:tcPr>
            <w:tcW w:type="dxa" w:w="3312"/>
            <w:shd w:val="clear" w:fill="FFFFFF"/>
          </w:tcPr>
          <w:p>
            <w:pPr>
              <w:spacing w:after="20" w:before="20"/>
            </w:pPr>
            <w:r/>
            <w:r>
              <w:rPr>
                <w:rFonts w:ascii="Calibri" w:hAnsi="Calibri"/>
                <w:b w:val="0"/>
                <w:color w:val="333333"/>
                <w:sz w:val="19"/>
              </w:rPr>
              <w:t>Features you picked by hand</w:t>
            </w:r>
          </w:p>
        </w:tc>
        <w:tc>
          <w:tcPr>
            <w:tcW w:type="dxa" w:w="3600"/>
            <w:shd w:val="clear" w:fill="FFFFFF"/>
          </w:tcPr>
          <w:p>
            <w:pPr>
              <w:spacing w:after="20" w:before="20"/>
            </w:pPr>
            <w:r/>
            <w:r>
              <w:rPr>
                <w:rFonts w:ascii="Calibri" w:hAnsi="Calibri"/>
                <w:b w:val="0"/>
                <w:color w:val="333333"/>
                <w:sz w:val="19"/>
              </w:rPr>
              <w:t>A specific handful of parcels</w:t>
            </w:r>
          </w:p>
        </w:tc>
      </w:tr>
      <w:tr>
        <w:trPr>
          <w:cantSplit/>
        </w:trPr>
        <w:tc>
          <w:tcPr>
            <w:tcW w:type="dxa" w:w="3024"/>
            <w:shd w:val="clear" w:fill="F0F0F8"/>
          </w:tcPr>
          <w:p>
            <w:pPr>
              <w:spacing w:after="20" w:before="20"/>
            </w:pPr>
            <w:r/>
            <w:r>
              <w:rPr>
                <w:rFonts w:ascii="Calibri" w:hAnsi="Calibri"/>
                <w:b/>
                <w:color w:val="333333"/>
                <w:sz w:val="19"/>
              </w:rPr>
              <w:t>From Circle / Area</w:t>
            </w:r>
          </w:p>
        </w:tc>
        <w:tc>
          <w:tcPr>
            <w:tcW w:type="dxa" w:w="3312"/>
            <w:shd w:val="clear" w:fill="F0F0F8"/>
          </w:tcPr>
          <w:p>
            <w:pPr>
              <w:spacing w:after="20" w:before="20"/>
            </w:pPr>
            <w:r/>
            <w:r>
              <w:rPr>
                <w:rFonts w:ascii="Calibri" w:hAnsi="Calibri"/>
                <w:b w:val="0"/>
                <w:color w:val="333333"/>
                <w:sz w:val="19"/>
              </w:rPr>
              <w:t>What the drawn shape caught</w:t>
            </w:r>
          </w:p>
        </w:tc>
        <w:tc>
          <w:tcPr>
            <w:tcW w:type="dxa" w:w="3600"/>
            <w:shd w:val="clear" w:fill="F0F0F8"/>
          </w:tcPr>
          <w:p>
            <w:pPr>
              <w:spacing w:after="20" w:before="20"/>
            </w:pPr>
            <w:r/>
            <w:r>
              <w:rPr>
                <w:rFonts w:ascii="Calibri" w:hAnsi="Calibri"/>
                <w:b w:val="0"/>
                <w:color w:val="333333"/>
                <w:sz w:val="19"/>
              </w:rPr>
              <w:t>Appears only when opened from a measurement pop-up</w:t>
            </w:r>
          </w:p>
        </w:tc>
      </w:tr>
    </w:tbl>
    <w:p>
      <w:pPr>
        <w:spacing w:after="80"/>
      </w:pPr>
    </w:p>
    <w:p>
      <w:pPr>
        <w:spacing w:after="120"/>
      </w:pPr>
      <w:r>
        <w:rPr>
          <w:rFonts w:ascii="Calibri" w:hAnsi="Calibri"/>
          <w:b/>
          <w:i w:val="0"/>
          <w:color w:val="333333"/>
          <w:sz w:val="22"/>
        </w:rPr>
        <w:t xml:space="preserve">To select features by hand: </w:t>
      </w:r>
      <w:r>
        <w:rPr>
          <w:rFonts w:ascii="Calibri" w:hAnsi="Calibri"/>
          <w:b w:val="0"/>
          <w:i w:val="0"/>
          <w:color w:val="333333"/>
          <w:sz w:val="22"/>
        </w:rPr>
        <w:t>open the Digitise tool, then Shift-click features one at a time, or hold Ctrl (Cmd on Mac) and drag a box around them. The panel shows how many features are currently selected.</w:t>
      </w:r>
    </w:p>
    <w:p>
      <w:pPr>
        <w:pStyle w:val="berschrift1"/>
      </w:pPr>
      <w:r>
        <w:t>5. Tutorial A — Overlay: which parcels fall inside a zone</w:t>
      </w:r>
    </w:p>
    <w:p>
      <w:pPr>
        <w:spacing w:after="120"/>
      </w:pPr>
      <w:r>
        <w:rPr>
          <w:rFonts w:ascii="Calibri" w:hAnsi="Calibri"/>
          <w:b/>
          <w:i w:val="0"/>
          <w:color w:val="333333"/>
          <w:sz w:val="22"/>
        </w:rPr>
        <w:t xml:space="preserve">Overlays work on polygon layers only. </w:t>
      </w:r>
      <w:r>
        <w:rPr>
          <w:rFonts w:ascii="Calibri" w:hAnsi="Calibri"/>
          <w:b w:val="0"/>
          <w:i w:val="0"/>
          <w:color w:val="333333"/>
          <w:sz w:val="22"/>
        </w:rPr>
        <w:t>Point and line layers are ignored by this operation.</w:t>
      </w:r>
    </w:p>
    <w:p>
      <w:pPr>
        <w:spacing w:after="120"/>
      </w:pPr>
      <w:r>
        <w:rPr>
          <w:rFonts w:ascii="Calibri" w:hAnsi="Calibri"/>
          <w:b w:val="0"/>
          <w:i w:val="0"/>
          <w:color w:val="333333"/>
          <w:sz w:val="22"/>
        </w:rPr>
        <w:t>If you choose a line layer — contours or roads — the analysis now stops with a message explaining that overlays need polygons, rather than quietly returning nothing. To summarise a line layer per zone, use Zonal statistics instead (Section 6).</w:t>
      </w:r>
    </w:p>
    <w:p>
      <w:pPr>
        <w:spacing w:after="80"/>
        <w:ind w:left="490" w:hanging="490"/>
      </w:pPr>
      <w:r>
        <w:rPr>
          <w:rFonts w:ascii="Calibri" w:hAnsi="Calibri"/>
          <w:b/>
          <w:color w:val="16A34A"/>
          <w:sz w:val="22"/>
        </w:rPr>
        <w:t>1.</w:t>
        <w:tab/>
      </w:r>
      <w:r>
        <w:rPr>
          <w:rFonts w:ascii="Calibri" w:hAnsi="Calibri"/>
          <w:b w:val="0"/>
          <w:i w:val="0"/>
          <w:color w:val="333333"/>
          <w:sz w:val="22"/>
        </w:rPr>
        <w:t xml:space="preserve">Load the two layers you want to combine — for this example </w:t>
      </w:r>
      <w:r>
        <w:rPr>
          <w:rFonts w:ascii="Calibri" w:hAnsi="Calibri"/>
          <w:b/>
          <w:i w:val="0"/>
          <w:color w:val="333333"/>
          <w:sz w:val="22"/>
        </w:rPr>
        <w:t>Parcels</w:t>
      </w:r>
      <w:r>
        <w:rPr>
          <w:rFonts w:ascii="Calibri" w:hAnsi="Calibri"/>
          <w:b w:val="0"/>
          <w:i w:val="0"/>
          <w:color w:val="333333"/>
          <w:sz w:val="22"/>
        </w:rPr>
        <w:t xml:space="preserve"> and </w:t>
      </w:r>
      <w:r>
        <w:rPr>
          <w:rFonts w:ascii="Calibri" w:hAnsi="Calibri"/>
          <w:b/>
          <w:i w:val="0"/>
          <w:color w:val="333333"/>
          <w:sz w:val="22"/>
        </w:rPr>
        <w:t>Collector Zones</w:t>
      </w:r>
      <w:r>
        <w:rPr>
          <w:rFonts w:ascii="Calibri" w:hAnsi="Calibri"/>
          <w:b w:val="0"/>
          <w:i w:val="0"/>
          <w:color w:val="333333"/>
          <w:sz w:val="22"/>
        </w:rPr>
        <w:t>.</w:t>
      </w:r>
    </w:p>
    <w:p>
      <w:pPr>
        <w:spacing w:after="80"/>
        <w:ind w:left="490" w:hanging="490"/>
      </w:pPr>
      <w:r>
        <w:rPr>
          <w:rFonts w:ascii="Calibri" w:hAnsi="Calibri"/>
          <w:b/>
          <w:color w:val="16A34A"/>
          <w:sz w:val="22"/>
        </w:rPr>
        <w:t>2.</w:t>
        <w:tab/>
      </w:r>
      <w:r>
        <w:rPr>
          <w:rFonts w:ascii="Calibri" w:hAnsi="Calibri"/>
          <w:b w:val="0"/>
          <w:i w:val="0"/>
          <w:color w:val="333333"/>
          <w:sz w:val="22"/>
        </w:rPr>
        <w:t xml:space="preserve">Open Analyse and keep the </w:t>
      </w:r>
      <w:r>
        <w:rPr>
          <w:rFonts w:ascii="Calibri" w:hAnsi="Calibri"/>
          <w:b/>
          <w:i w:val="0"/>
          <w:color w:val="333333"/>
          <w:sz w:val="22"/>
        </w:rPr>
        <w:t>Overlay</w:t>
      </w:r>
      <w:r>
        <w:rPr>
          <w:rFonts w:ascii="Calibri" w:hAnsi="Calibri"/>
          <w:b w:val="0"/>
          <w:i w:val="0"/>
          <w:color w:val="333333"/>
          <w:sz w:val="22"/>
        </w:rPr>
        <w:t xml:space="preserve"> tab selected.</w:t>
      </w:r>
    </w:p>
    <w:p>
      <w:pPr>
        <w:spacing w:after="80"/>
        <w:ind w:left="490" w:hanging="490"/>
      </w:pPr>
      <w:r>
        <w:rPr>
          <w:rFonts w:ascii="Calibri" w:hAnsi="Calibri"/>
          <w:b/>
          <w:color w:val="16A34A"/>
          <w:sz w:val="22"/>
        </w:rPr>
        <w:t>3.</w:t>
        <w:tab/>
      </w:r>
      <w:r>
        <w:rPr>
          <w:rFonts w:ascii="Calibri" w:hAnsi="Calibri"/>
          <w:b w:val="0"/>
          <w:i w:val="0"/>
          <w:color w:val="333333"/>
          <w:sz w:val="22"/>
        </w:rPr>
        <w:t xml:space="preserve">Choose an </w:t>
      </w:r>
      <w:r>
        <w:rPr>
          <w:rFonts w:ascii="Calibri" w:hAnsi="Calibri"/>
          <w:b/>
          <w:i w:val="0"/>
          <w:color w:val="333333"/>
          <w:sz w:val="22"/>
        </w:rPr>
        <w:t>Operation</w:t>
      </w:r>
      <w:r>
        <w:rPr>
          <w:rFonts w:ascii="Calibri" w:hAnsi="Calibri"/>
          <w:b w:val="0"/>
          <w:i w:val="0"/>
          <w:color w:val="333333"/>
          <w:sz w:val="22"/>
        </w:rPr>
        <w:t xml:space="preserve"> (see the table below). For this example choose </w:t>
      </w:r>
      <w:r>
        <w:rPr>
          <w:rFonts w:ascii="Calibri" w:hAnsi="Calibri"/>
          <w:b/>
          <w:i w:val="0"/>
          <w:color w:val="333333"/>
          <w:sz w:val="22"/>
        </w:rPr>
        <w:t>Intersect</w:t>
      </w:r>
      <w:r>
        <w:rPr>
          <w:rFonts w:ascii="Calibri" w:hAnsi="Calibri"/>
          <w:b w:val="0"/>
          <w:i w:val="0"/>
          <w:color w:val="333333"/>
          <w:sz w:val="22"/>
        </w:rPr>
        <w:t>.</w:t>
      </w:r>
    </w:p>
    <w:p>
      <w:pPr>
        <w:spacing w:after="80"/>
        <w:ind w:left="490" w:hanging="490"/>
      </w:pPr>
      <w:r>
        <w:rPr>
          <w:rFonts w:ascii="Calibri" w:hAnsi="Calibri"/>
          <w:b/>
          <w:color w:val="16A34A"/>
          <w:sz w:val="22"/>
        </w:rPr>
        <w:t>4.</w:t>
        <w:tab/>
      </w:r>
      <w:r>
        <w:rPr>
          <w:rFonts w:ascii="Calibri" w:hAnsi="Calibri"/>
          <w:b w:val="0"/>
          <w:i w:val="0"/>
          <w:color w:val="333333"/>
          <w:sz w:val="22"/>
        </w:rPr>
        <w:t xml:space="preserve">Set </w:t>
      </w:r>
      <w:r>
        <w:rPr>
          <w:rFonts w:ascii="Calibri" w:hAnsi="Calibri"/>
          <w:b/>
          <w:i w:val="0"/>
          <w:color w:val="333333"/>
          <w:sz w:val="22"/>
        </w:rPr>
        <w:t>Layer A</w:t>
      </w:r>
      <w:r>
        <w:rPr>
          <w:rFonts w:ascii="Calibri" w:hAnsi="Calibri"/>
          <w:b w:val="0"/>
          <w:i w:val="0"/>
          <w:color w:val="333333"/>
          <w:sz w:val="22"/>
        </w:rPr>
        <w:t xml:space="preserve"> to Parcels and </w:t>
      </w:r>
      <w:r>
        <w:rPr>
          <w:rFonts w:ascii="Calibri" w:hAnsi="Calibri"/>
          <w:b/>
          <w:i w:val="0"/>
          <w:color w:val="333333"/>
          <w:sz w:val="22"/>
        </w:rPr>
        <w:t>Layer B</w:t>
      </w:r>
      <w:r>
        <w:rPr>
          <w:rFonts w:ascii="Calibri" w:hAnsi="Calibri"/>
          <w:b w:val="0"/>
          <w:i w:val="0"/>
          <w:color w:val="333333"/>
          <w:sz w:val="22"/>
        </w:rPr>
        <w:t xml:space="preserve"> to Collector Zones. Order matters — the result is built from layer A.</w:t>
      </w:r>
    </w:p>
    <w:p>
      <w:pPr>
        <w:spacing w:after="80"/>
        <w:ind w:left="490" w:hanging="490"/>
      </w:pPr>
      <w:r>
        <w:rPr>
          <w:rFonts w:ascii="Calibri" w:hAnsi="Calibri"/>
          <w:b/>
          <w:color w:val="16A34A"/>
          <w:sz w:val="22"/>
        </w:rPr>
        <w:t>5.</w:t>
        <w:tab/>
      </w:r>
      <w:r>
        <w:rPr>
          <w:rFonts w:ascii="Calibri" w:hAnsi="Calibri"/>
          <w:b w:val="0"/>
          <w:i w:val="0"/>
          <w:color w:val="333333"/>
          <w:sz w:val="22"/>
        </w:rPr>
        <w:t xml:space="preserve">Set </w:t>
      </w:r>
      <w:r>
        <w:rPr>
          <w:rFonts w:ascii="Calibri" w:hAnsi="Calibri"/>
          <w:b/>
          <w:i w:val="0"/>
          <w:color w:val="333333"/>
          <w:sz w:val="22"/>
        </w:rPr>
        <w:t>Apply to</w:t>
      </w:r>
      <w:r>
        <w:rPr>
          <w:rFonts w:ascii="Calibri" w:hAnsi="Calibri"/>
          <w:b w:val="0"/>
          <w:i w:val="0"/>
          <w:color w:val="333333"/>
          <w:sz w:val="22"/>
        </w:rPr>
        <w:t xml:space="preserve"> if you want to limit the area.</w:t>
      </w:r>
    </w:p>
    <w:p>
      <w:pPr>
        <w:spacing w:after="80"/>
        <w:ind w:left="490" w:hanging="490"/>
      </w:pPr>
      <w:r>
        <w:rPr>
          <w:rFonts w:ascii="Calibri" w:hAnsi="Calibri"/>
          <w:b/>
          <w:color w:val="16A34A"/>
          <w:sz w:val="22"/>
        </w:rPr>
        <w:t>6.</w:t>
        <w:tab/>
      </w:r>
      <w:r>
        <w:rPr>
          <w:rFonts w:ascii="Calibri" w:hAnsi="Calibri"/>
          <w:b w:val="0"/>
          <w:i w:val="0"/>
          <w:color w:val="333333"/>
          <w:sz w:val="22"/>
        </w:rPr>
        <w:t xml:space="preserve">Give the result a name, then click </w:t>
      </w:r>
      <w:r>
        <w:rPr>
          <w:rFonts w:ascii="Calibri" w:hAnsi="Calibri"/>
          <w:b/>
          <w:i w:val="0"/>
          <w:color w:val="333333"/>
          <w:sz w:val="22"/>
        </w:rPr>
        <w:t>Run analysis</w:t>
      </w:r>
      <w:r>
        <w:rPr>
          <w:rFonts w:ascii="Calibri" w:hAnsi="Calibri"/>
          <w:b w:val="0"/>
          <w:i w:val="0"/>
          <w:color w:val="333333"/>
          <w:sz w:val="22"/>
        </w:rPr>
        <w:t>.</w:t>
      </w:r>
    </w:p>
    <w:p>
      <w:pPr>
        <w:spacing w:after="60"/>
      </w:pPr>
      <w:r>
        <w:rPr>
          <w:rFonts w:ascii="Calibri" w:hAnsi="Calibri"/>
          <w:b/>
          <w:i w:val="0"/>
          <w:color w:val="1E1A4B"/>
          <w:sz w:val="22"/>
        </w:rPr>
        <w:t>The four operations</w:t>
      </w:r>
      <w:r>
        <w:rPr>
          <w:rFonts w:ascii="Calibri" w:hAnsi="Calibri"/>
          <w:b w:val="0"/>
          <w:i w:val="0"/>
          <w:color w:val="333333"/>
          <w:sz w:val="22"/>
        </w:rPr>
        <w: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2448"/>
            <w:shd w:val="clear" w:fill="1E1A4B"/>
          </w:tcPr>
          <w:p>
            <w:pPr>
              <w:spacing w:after="20" w:before="20"/>
            </w:pPr>
            <w:r/>
            <w:r>
              <w:rPr>
                <w:rFonts w:ascii="Calibri" w:hAnsi="Calibri"/>
                <w:b/>
                <w:color w:val="FFFFFF"/>
                <w:sz w:val="20"/>
              </w:rPr>
              <w:t>Operation</w:t>
            </w:r>
          </w:p>
        </w:tc>
        <w:tc>
          <w:tcPr>
            <w:tcW w:type="dxa" w:w="3888"/>
            <w:shd w:val="clear" w:fill="1E1A4B"/>
          </w:tcPr>
          <w:p>
            <w:pPr>
              <w:spacing w:after="20" w:before="20"/>
            </w:pPr>
            <w:r/>
            <w:r>
              <w:rPr>
                <w:rFonts w:ascii="Calibri" w:hAnsi="Calibri"/>
                <w:b/>
                <w:color w:val="FFFFFF"/>
                <w:sz w:val="20"/>
              </w:rPr>
              <w:t>What you get</w:t>
            </w:r>
          </w:p>
        </w:tc>
        <w:tc>
          <w:tcPr>
            <w:tcW w:type="dxa" w:w="3600"/>
            <w:shd w:val="clear" w:fill="1E1A4B"/>
          </w:tcPr>
          <w:p>
            <w:pPr>
              <w:spacing w:after="20" w:before="20"/>
            </w:pPr>
            <w:r/>
            <w:r>
              <w:rPr>
                <w:rFonts w:ascii="Calibri" w:hAnsi="Calibri"/>
                <w:b/>
                <w:color w:val="FFFFFF"/>
                <w:sz w:val="20"/>
              </w:rPr>
              <w:t>Attributes on the result</w:t>
            </w:r>
          </w:p>
        </w:tc>
      </w:tr>
      <w:tr>
        <w:trPr>
          <w:cantSplit/>
        </w:trPr>
        <w:tc>
          <w:tcPr>
            <w:tcW w:type="dxa" w:w="2448"/>
            <w:shd w:val="clear" w:fill="FFFFFF"/>
          </w:tcPr>
          <w:p>
            <w:pPr>
              <w:spacing w:after="20" w:before="20"/>
            </w:pPr>
            <w:r/>
            <w:r>
              <w:rPr>
                <w:rFonts w:ascii="Calibri" w:hAnsi="Calibri"/>
                <w:b/>
                <w:color w:val="333333"/>
                <w:sz w:val="19"/>
              </w:rPr>
              <w:t>Intersect</w:t>
            </w:r>
          </w:p>
        </w:tc>
        <w:tc>
          <w:tcPr>
            <w:tcW w:type="dxa" w:w="3888"/>
            <w:shd w:val="clear" w:fill="FFFFFF"/>
          </w:tcPr>
          <w:p>
            <w:pPr>
              <w:spacing w:after="20" w:before="20"/>
            </w:pPr>
            <w:r/>
            <w:r>
              <w:rPr>
                <w:rFonts w:ascii="Calibri" w:hAnsi="Calibri"/>
                <w:b w:val="0"/>
                <w:color w:val="333333"/>
                <w:sz w:val="19"/>
              </w:rPr>
              <w:t>The parts of A that fall inside B</w:t>
            </w:r>
          </w:p>
        </w:tc>
        <w:tc>
          <w:tcPr>
            <w:tcW w:type="dxa" w:w="3600"/>
            <w:shd w:val="clear" w:fill="FFFFFF"/>
          </w:tcPr>
          <w:p>
            <w:pPr>
              <w:spacing w:after="20" w:before="20"/>
            </w:pPr>
            <w:r/>
            <w:r>
              <w:rPr>
                <w:rFonts w:ascii="Calibri" w:hAnsi="Calibri"/>
                <w:b w:val="0"/>
                <w:color w:val="333333"/>
                <w:sz w:val="19"/>
              </w:rPr>
              <w:t>From both layers. If a field name exists in both, B's copy is prefixed b_</w:t>
            </w:r>
          </w:p>
        </w:tc>
      </w:tr>
      <w:tr>
        <w:trPr>
          <w:cantSplit/>
        </w:trPr>
        <w:tc>
          <w:tcPr>
            <w:tcW w:type="dxa" w:w="2448"/>
            <w:shd w:val="clear" w:fill="F0F0F8"/>
          </w:tcPr>
          <w:p>
            <w:pPr>
              <w:spacing w:after="20" w:before="20"/>
            </w:pPr>
            <w:r/>
            <w:r>
              <w:rPr>
                <w:rFonts w:ascii="Calibri" w:hAnsi="Calibri"/>
                <w:b/>
                <w:color w:val="333333"/>
                <w:sz w:val="19"/>
              </w:rPr>
              <w:t>Clip</w:t>
            </w:r>
          </w:p>
        </w:tc>
        <w:tc>
          <w:tcPr>
            <w:tcW w:type="dxa" w:w="3888"/>
            <w:shd w:val="clear" w:fill="F0F0F8"/>
          </w:tcPr>
          <w:p>
            <w:pPr>
              <w:spacing w:after="20" w:before="20"/>
            </w:pPr>
            <w:r/>
            <w:r>
              <w:rPr>
                <w:rFonts w:ascii="Calibri" w:hAnsi="Calibri"/>
                <w:b w:val="0"/>
                <w:color w:val="333333"/>
                <w:sz w:val="19"/>
              </w:rPr>
              <w:t>The parts of A that fall inside B — same shapes as Intersect</w:t>
            </w:r>
          </w:p>
        </w:tc>
        <w:tc>
          <w:tcPr>
            <w:tcW w:type="dxa" w:w="3600"/>
            <w:shd w:val="clear" w:fill="F0F0F8"/>
          </w:tcPr>
          <w:p>
            <w:pPr>
              <w:spacing w:after="20" w:before="20"/>
            </w:pPr>
            <w:r/>
            <w:r>
              <w:rPr>
                <w:rFonts w:ascii="Calibri" w:hAnsi="Calibri"/>
                <w:b w:val="0"/>
                <w:color w:val="333333"/>
                <w:sz w:val="19"/>
              </w:rPr>
              <w:t>From layer A only</w:t>
            </w:r>
          </w:p>
        </w:tc>
      </w:tr>
      <w:tr>
        <w:trPr>
          <w:cantSplit/>
        </w:trPr>
        <w:tc>
          <w:tcPr>
            <w:tcW w:type="dxa" w:w="2448"/>
            <w:shd w:val="clear" w:fill="FFFFFF"/>
          </w:tcPr>
          <w:p>
            <w:pPr>
              <w:spacing w:after="20" w:before="20"/>
            </w:pPr>
            <w:r/>
            <w:r>
              <w:rPr>
                <w:rFonts w:ascii="Calibri" w:hAnsi="Calibri"/>
                <w:b/>
                <w:color w:val="333333"/>
                <w:sz w:val="19"/>
              </w:rPr>
              <w:t>Difference</w:t>
            </w:r>
          </w:p>
        </w:tc>
        <w:tc>
          <w:tcPr>
            <w:tcW w:type="dxa" w:w="3888"/>
            <w:shd w:val="clear" w:fill="FFFFFF"/>
          </w:tcPr>
          <w:p>
            <w:pPr>
              <w:spacing w:after="20" w:before="20"/>
            </w:pPr>
            <w:r/>
            <w:r>
              <w:rPr>
                <w:rFonts w:ascii="Calibri" w:hAnsi="Calibri"/>
                <w:b w:val="0"/>
                <w:color w:val="333333"/>
                <w:sz w:val="19"/>
              </w:rPr>
              <w:t>The parts of A that fall outside B</w:t>
            </w:r>
          </w:p>
        </w:tc>
        <w:tc>
          <w:tcPr>
            <w:tcW w:type="dxa" w:w="3600"/>
            <w:shd w:val="clear" w:fill="FFFFFF"/>
          </w:tcPr>
          <w:p>
            <w:pPr>
              <w:spacing w:after="20" w:before="20"/>
            </w:pPr>
            <w:r/>
            <w:r>
              <w:rPr>
                <w:rFonts w:ascii="Calibri" w:hAnsi="Calibri"/>
                <w:b w:val="0"/>
                <w:color w:val="333333"/>
                <w:sz w:val="19"/>
              </w:rPr>
              <w:t>From layer A</w:t>
            </w:r>
          </w:p>
        </w:tc>
      </w:tr>
      <w:tr>
        <w:trPr>
          <w:cantSplit/>
        </w:trPr>
        <w:tc>
          <w:tcPr>
            <w:tcW w:type="dxa" w:w="2448"/>
            <w:shd w:val="clear" w:fill="F0F0F8"/>
          </w:tcPr>
          <w:p>
            <w:pPr>
              <w:spacing w:after="20" w:before="20"/>
            </w:pPr>
            <w:r/>
            <w:r>
              <w:rPr>
                <w:rFonts w:ascii="Calibri" w:hAnsi="Calibri"/>
                <w:b/>
                <w:color w:val="333333"/>
                <w:sz w:val="19"/>
              </w:rPr>
              <w:t>Union / Dissolve</w:t>
            </w:r>
          </w:p>
        </w:tc>
        <w:tc>
          <w:tcPr>
            <w:tcW w:type="dxa" w:w="3888"/>
            <w:shd w:val="clear" w:fill="F0F0F8"/>
          </w:tcPr>
          <w:p>
            <w:pPr>
              <w:spacing w:after="20" w:before="20"/>
            </w:pPr>
            <w:r/>
            <w:r>
              <w:rPr>
                <w:rFonts w:ascii="Calibri" w:hAnsi="Calibri"/>
                <w:b w:val="0"/>
                <w:color w:val="333333"/>
                <w:sz w:val="19"/>
              </w:rPr>
              <w:t>All features merged into one outline. Layer B is optional</w:t>
            </w:r>
          </w:p>
        </w:tc>
        <w:tc>
          <w:tcPr>
            <w:tcW w:type="dxa" w:w="3600"/>
            <w:shd w:val="clear" w:fill="F0F0F8"/>
          </w:tcPr>
          <w:p>
            <w:pPr>
              <w:spacing w:after="20" w:before="20"/>
            </w:pPr>
            <w:r/>
            <w:r>
              <w:rPr>
                <w:rFonts w:ascii="Calibri" w:hAnsi="Calibri"/>
                <w:b w:val="0"/>
                <w:color w:val="333333"/>
                <w:sz w:val="19"/>
              </w:rPr>
              <w:t>A field named parts, giving the number of shapes merged</w:t>
            </w:r>
          </w:p>
        </w:tc>
      </w:tr>
    </w:tbl>
    <w:p>
      <w:pPr>
        <w:spacing w:after="80"/>
      </w:pPr>
    </w:p>
    <w:p>
      <w:pPr>
        <w:pStyle w:val="berschrift1"/>
      </w:pPr>
      <w:r>
        <w:t>6. Tutorial B — Zonal statistics: parcels per zone</w:t>
      </w:r>
    </w:p>
    <w:p>
      <w:pPr>
        <w:spacing w:after="120"/>
      </w:pPr>
      <w:r>
        <w:rPr>
          <w:rFonts w:ascii="Calibri" w:hAnsi="Calibri"/>
          <w:b w:val="0"/>
          <w:i w:val="0"/>
          <w:color w:val="333333"/>
          <w:sz w:val="22"/>
        </w:rPr>
        <w:t>Zonal statistics answers “how much, per zone?”. The zone layer must be polygons; the features you summarise can be points, lines or polygons.</w:t>
      </w:r>
    </w:p>
    <w:p>
      <w:pPr>
        <w:spacing w:after="80"/>
        <w:ind w:left="490" w:hanging="490"/>
      </w:pPr>
      <w:r>
        <w:rPr>
          <w:rFonts w:ascii="Calibri" w:hAnsi="Calibri"/>
          <w:b/>
          <w:color w:val="16A34A"/>
          <w:sz w:val="22"/>
        </w:rPr>
        <w:t>1.</w:t>
        <w:tab/>
      </w:r>
      <w:r>
        <w:rPr>
          <w:rFonts w:ascii="Calibri" w:hAnsi="Calibri"/>
          <w:b w:val="0"/>
          <w:i w:val="0"/>
          <w:color w:val="333333"/>
          <w:sz w:val="22"/>
        </w:rPr>
        <w:t xml:space="preserve">Open Analyse and switch to the </w:t>
      </w:r>
      <w:r>
        <w:rPr>
          <w:rFonts w:ascii="Calibri" w:hAnsi="Calibri"/>
          <w:b/>
          <w:i w:val="0"/>
          <w:color w:val="333333"/>
          <w:sz w:val="22"/>
        </w:rPr>
        <w:t>Zonal statistics</w:t>
      </w:r>
      <w:r>
        <w:rPr>
          <w:rFonts w:ascii="Calibri" w:hAnsi="Calibri"/>
          <w:b w:val="0"/>
          <w:i w:val="0"/>
          <w:color w:val="333333"/>
          <w:sz w:val="22"/>
        </w:rPr>
        <w:t xml:space="preserve"> tab.</w:t>
      </w:r>
    </w:p>
    <w:p>
      <w:pPr>
        <w:spacing w:after="80"/>
        <w:ind w:left="490" w:hanging="490"/>
      </w:pPr>
      <w:r>
        <w:rPr>
          <w:rFonts w:ascii="Calibri" w:hAnsi="Calibri"/>
          <w:b/>
          <w:color w:val="16A34A"/>
          <w:sz w:val="22"/>
        </w:rPr>
        <w:t>2.</w:t>
        <w:tab/>
      </w:r>
      <w:r>
        <w:rPr>
          <w:rFonts w:ascii="Calibri" w:hAnsi="Calibri"/>
          <w:b w:val="0"/>
          <w:i w:val="0"/>
          <w:color w:val="333333"/>
          <w:sz w:val="22"/>
        </w:rPr>
        <w:t xml:space="preserve">Set </w:t>
      </w:r>
      <w:r>
        <w:rPr>
          <w:rFonts w:ascii="Calibri" w:hAnsi="Calibri"/>
          <w:b/>
          <w:i w:val="0"/>
          <w:color w:val="333333"/>
          <w:sz w:val="22"/>
        </w:rPr>
        <w:t>Zone layer</w:t>
      </w:r>
      <w:r>
        <w:rPr>
          <w:rFonts w:ascii="Calibri" w:hAnsi="Calibri"/>
          <w:b w:val="0"/>
          <w:i w:val="0"/>
          <w:color w:val="333333"/>
          <w:sz w:val="22"/>
        </w:rPr>
        <w:t xml:space="preserve"> to the polygons you want results for — for example Collector Zones.</w:t>
      </w:r>
    </w:p>
    <w:p>
      <w:pPr>
        <w:spacing w:after="80"/>
        <w:ind w:left="490" w:hanging="490"/>
      </w:pPr>
      <w:r>
        <w:rPr>
          <w:rFonts w:ascii="Calibri" w:hAnsi="Calibri"/>
          <w:b/>
          <w:color w:val="16A34A"/>
          <w:sz w:val="22"/>
        </w:rPr>
        <w:t>3.</w:t>
        <w:tab/>
      </w:r>
      <w:r>
        <w:rPr>
          <w:rFonts w:ascii="Calibri" w:hAnsi="Calibri"/>
          <w:b w:val="0"/>
          <w:i w:val="0"/>
          <w:color w:val="333333"/>
          <w:sz w:val="22"/>
        </w:rPr>
        <w:t xml:space="preserve">Set </w:t>
      </w:r>
      <w:r>
        <w:rPr>
          <w:rFonts w:ascii="Calibri" w:hAnsi="Calibri"/>
          <w:b/>
          <w:i w:val="0"/>
          <w:color w:val="333333"/>
          <w:sz w:val="22"/>
        </w:rPr>
        <w:t>Features to summarise</w:t>
      </w:r>
      <w:r>
        <w:rPr>
          <w:rFonts w:ascii="Calibri" w:hAnsi="Calibri"/>
          <w:b w:val="0"/>
          <w:i w:val="0"/>
          <w:color w:val="333333"/>
          <w:sz w:val="22"/>
        </w:rPr>
        <w:t xml:space="preserve"> to the layer being counted — for example Parcels.</w:t>
      </w:r>
    </w:p>
    <w:p>
      <w:pPr>
        <w:spacing w:after="80"/>
        <w:ind w:left="490" w:hanging="490"/>
      </w:pPr>
      <w:r>
        <w:rPr>
          <w:rFonts w:ascii="Calibri" w:hAnsi="Calibri"/>
          <w:b/>
          <w:color w:val="16A34A"/>
          <w:sz w:val="22"/>
        </w:rPr>
        <w:t>4.</w:t>
        <w:tab/>
      </w:r>
      <w:r>
        <w:rPr>
          <w:rFonts w:ascii="Calibri" w:hAnsi="Calibri"/>
          <w:b w:val="0"/>
          <w:i w:val="0"/>
          <w:color w:val="333333"/>
          <w:sz w:val="22"/>
        </w:rPr>
        <w:t xml:space="preserve">Choose </w:t>
      </w:r>
      <w:r>
        <w:rPr>
          <w:rFonts w:ascii="Calibri" w:hAnsi="Calibri"/>
          <w:b/>
          <w:i w:val="0"/>
          <w:color w:val="333333"/>
          <w:sz w:val="22"/>
        </w:rPr>
        <w:t>Counted when</w:t>
      </w:r>
      <w:r>
        <w:rPr>
          <w:rFonts w:ascii="Calibri" w:hAnsi="Calibri"/>
          <w:b w:val="0"/>
          <w:i w:val="0"/>
          <w:color w:val="333333"/>
          <w:sz w:val="22"/>
        </w:rPr>
        <w:t xml:space="preserve"> (see below).</w:t>
      </w:r>
    </w:p>
    <w:p>
      <w:pPr>
        <w:spacing w:after="80"/>
        <w:ind w:left="490" w:hanging="490"/>
      </w:pPr>
      <w:r>
        <w:rPr>
          <w:rFonts w:ascii="Calibri" w:hAnsi="Calibri"/>
          <w:b/>
          <w:color w:val="16A34A"/>
          <w:sz w:val="22"/>
        </w:rPr>
        <w:t>5.</w:t>
        <w:tab/>
      </w:r>
      <w:r>
        <w:rPr>
          <w:rFonts w:ascii="Calibri" w:hAnsi="Calibri"/>
          <w:b w:val="0"/>
          <w:i w:val="0"/>
          <w:color w:val="333333"/>
          <w:sz w:val="22"/>
        </w:rPr>
        <w:t xml:space="preserve">Tick the </w:t>
      </w:r>
      <w:r>
        <w:rPr>
          <w:rFonts w:ascii="Calibri" w:hAnsi="Calibri"/>
          <w:b/>
          <w:i w:val="0"/>
          <w:color w:val="333333"/>
          <w:sz w:val="22"/>
        </w:rPr>
        <w:t>Statistics</w:t>
      </w:r>
      <w:r>
        <w:rPr>
          <w:rFonts w:ascii="Calibri" w:hAnsi="Calibri"/>
          <w:b w:val="0"/>
          <w:i w:val="0"/>
          <w:color w:val="333333"/>
          <w:sz w:val="22"/>
        </w:rPr>
        <w:t xml:space="preserve"> you need. Count is ticked by default.</w:t>
      </w:r>
    </w:p>
    <w:p>
      <w:pPr>
        <w:spacing w:after="80"/>
        <w:ind w:left="490" w:hanging="490"/>
      </w:pPr>
      <w:r>
        <w:rPr>
          <w:rFonts w:ascii="Calibri" w:hAnsi="Calibri"/>
          <w:b/>
          <w:color w:val="16A34A"/>
          <w:sz w:val="22"/>
        </w:rPr>
        <w:t>6.</w:t>
        <w:tab/>
      </w:r>
      <w:r>
        <w:rPr>
          <w:rFonts w:ascii="Calibri" w:hAnsi="Calibri"/>
          <w:b w:val="0"/>
          <w:i w:val="0"/>
          <w:color w:val="333333"/>
          <w:sz w:val="22"/>
        </w:rPr>
        <w:t xml:space="preserve">For Sum, Mean, Minimum or Maximum, also choose a </w:t>
      </w:r>
      <w:r>
        <w:rPr>
          <w:rFonts w:ascii="Calibri" w:hAnsi="Calibri"/>
          <w:b/>
          <w:i w:val="0"/>
          <w:color w:val="333333"/>
          <w:sz w:val="22"/>
        </w:rPr>
        <w:t>Numeric field</w:t>
      </w:r>
      <w:r>
        <w:rPr>
          <w:rFonts w:ascii="Calibri" w:hAnsi="Calibri"/>
          <w:b w:val="0"/>
          <w:i w:val="0"/>
          <w:color w:val="333333"/>
          <w:sz w:val="22"/>
        </w:rPr>
        <w:t xml:space="preserve"> — for example a plot-size field.</w:t>
      </w:r>
    </w:p>
    <w:p>
      <w:pPr>
        <w:spacing w:after="80"/>
        <w:ind w:left="490" w:hanging="490"/>
      </w:pPr>
      <w:r>
        <w:rPr>
          <w:rFonts w:ascii="Calibri" w:hAnsi="Calibri"/>
          <w:b/>
          <w:color w:val="16A34A"/>
          <w:sz w:val="22"/>
        </w:rPr>
        <w:t>7.</w:t>
        <w:tab/>
      </w:r>
      <w:r>
        <w:rPr>
          <w:rFonts w:ascii="Calibri" w:hAnsi="Calibri"/>
          <w:b w:val="0"/>
          <w:i w:val="0"/>
          <w:color w:val="333333"/>
          <w:sz w:val="22"/>
        </w:rPr>
        <w:t xml:space="preserve">Click </w:t>
      </w:r>
      <w:r>
        <w:rPr>
          <w:rFonts w:ascii="Calibri" w:hAnsi="Calibri"/>
          <w:b/>
          <w:i w:val="0"/>
          <w:color w:val="333333"/>
          <w:sz w:val="22"/>
        </w:rPr>
        <w:t>Run analysis</w:t>
      </w:r>
      <w:r>
        <w:rPr>
          <w:rFonts w:ascii="Calibri" w:hAnsi="Calibri"/>
          <w:b w:val="0"/>
          <w:i w:val="0"/>
          <w:color w:val="333333"/>
          <w:sz w:val="22"/>
        </w:rPr>
        <w:t>.</w:t>
      </w:r>
    </w:p>
    <w:p>
      <w:pPr>
        <w:spacing w:after="60"/>
      </w:pPr>
      <w:r>
        <w:rPr>
          <w:rFonts w:ascii="Calibri" w:hAnsi="Calibri"/>
          <w:b/>
          <w:i w:val="0"/>
          <w:color w:val="1E1A4B"/>
          <w:sz w:val="22"/>
        </w:rPr>
        <w:t>Counted when</w:t>
      </w:r>
      <w:r>
        <w:rPr>
          <w:rFonts w:ascii="Calibri" w:hAnsi="Calibri"/>
          <w:b w:val="0"/>
          <w:i w:val="0"/>
          <w:color w:val="333333"/>
          <w:sz w:val="22"/>
        </w:rPr>
        <w:t xml:space="preserve"> decides how a feature is assigned to a zone: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2880"/>
            <w:shd w:val="clear" w:fill="1E1A4B"/>
          </w:tcPr>
          <w:p>
            <w:pPr>
              <w:spacing w:after="20" w:before="20"/>
            </w:pPr>
            <w:r/>
            <w:r>
              <w:rPr>
                <w:rFonts w:ascii="Calibri" w:hAnsi="Calibri"/>
                <w:b/>
                <w:color w:val="FFFFFF"/>
                <w:sz w:val="20"/>
              </w:rPr>
              <w:t>Option</w:t>
            </w:r>
          </w:p>
        </w:tc>
        <w:tc>
          <w:tcPr>
            <w:tcW w:type="dxa" w:w="3744"/>
            <w:shd w:val="clear" w:fill="1E1A4B"/>
          </w:tcPr>
          <w:p>
            <w:pPr>
              <w:spacing w:after="20" w:before="20"/>
            </w:pPr>
            <w:r/>
            <w:r>
              <w:rPr>
                <w:rFonts w:ascii="Calibri" w:hAnsi="Calibri"/>
                <w:b/>
                <w:color w:val="FFFFFF"/>
                <w:sz w:val="20"/>
              </w:rPr>
              <w:t>Meaning</w:t>
            </w:r>
          </w:p>
        </w:tc>
        <w:tc>
          <w:tcPr>
            <w:tcW w:type="dxa" w:w="3312"/>
            <w:shd w:val="clear" w:fill="1E1A4B"/>
          </w:tcPr>
          <w:p>
            <w:pPr>
              <w:spacing w:after="20" w:before="20"/>
            </w:pPr>
            <w:r/>
            <w:r>
              <w:rPr>
                <w:rFonts w:ascii="Calibri" w:hAnsi="Calibri"/>
                <w:b/>
                <w:color w:val="FFFFFF"/>
                <w:sz w:val="20"/>
              </w:rPr>
              <w:t>Effect</w:t>
            </w:r>
          </w:p>
        </w:tc>
      </w:tr>
      <w:tr>
        <w:trPr>
          <w:cantSplit/>
        </w:trPr>
        <w:tc>
          <w:tcPr>
            <w:tcW w:type="dxa" w:w="2880"/>
            <w:shd w:val="clear" w:fill="FFFFFF"/>
          </w:tcPr>
          <w:p>
            <w:pPr>
              <w:spacing w:after="20" w:before="20"/>
            </w:pPr>
            <w:r/>
            <w:r>
              <w:rPr>
                <w:rFonts w:ascii="Calibri" w:hAnsi="Calibri"/>
                <w:b/>
                <w:color w:val="333333"/>
                <w:sz w:val="19"/>
              </w:rPr>
              <w:t>Centroid inside zone</w:t>
            </w:r>
          </w:p>
        </w:tc>
        <w:tc>
          <w:tcPr>
            <w:tcW w:type="dxa" w:w="3744"/>
            <w:shd w:val="clear" w:fill="FFFFFF"/>
          </w:tcPr>
          <w:p>
            <w:pPr>
              <w:spacing w:after="20" w:before="20"/>
            </w:pPr>
            <w:r/>
            <w:r>
              <w:rPr>
                <w:rFonts w:ascii="Calibri" w:hAnsi="Calibri"/>
                <w:b w:val="0"/>
                <w:color w:val="333333"/>
                <w:sz w:val="19"/>
              </w:rPr>
              <w:t>A feature belongs to the zone containing its centre point</w:t>
            </w:r>
          </w:p>
        </w:tc>
        <w:tc>
          <w:tcPr>
            <w:tcW w:type="dxa" w:w="3312"/>
            <w:shd w:val="clear" w:fill="FFFFFF"/>
          </w:tcPr>
          <w:p>
            <w:pPr>
              <w:spacing w:after="20" w:before="20"/>
            </w:pPr>
            <w:r/>
            <w:r>
              <w:rPr>
                <w:rFonts w:ascii="Calibri" w:hAnsi="Calibri"/>
                <w:b w:val="0"/>
                <w:color w:val="333333"/>
                <w:sz w:val="19"/>
              </w:rPr>
              <w:t>Each feature counted once. Recommended for totals.</w:t>
            </w:r>
          </w:p>
        </w:tc>
      </w:tr>
      <w:tr>
        <w:trPr>
          <w:cantSplit/>
        </w:trPr>
        <w:tc>
          <w:tcPr>
            <w:tcW w:type="dxa" w:w="2880"/>
            <w:shd w:val="clear" w:fill="F0F0F8"/>
          </w:tcPr>
          <w:p>
            <w:pPr>
              <w:spacing w:after="20" w:before="20"/>
            </w:pPr>
            <w:r/>
            <w:r>
              <w:rPr>
                <w:rFonts w:ascii="Calibri" w:hAnsi="Calibri"/>
                <w:b/>
                <w:color w:val="333333"/>
                <w:sz w:val="19"/>
              </w:rPr>
              <w:t>Any overlap with zone</w:t>
            </w:r>
          </w:p>
        </w:tc>
        <w:tc>
          <w:tcPr>
            <w:tcW w:type="dxa" w:w="3744"/>
            <w:shd w:val="clear" w:fill="F0F0F8"/>
          </w:tcPr>
          <w:p>
            <w:pPr>
              <w:spacing w:after="20" w:before="20"/>
            </w:pPr>
            <w:r/>
            <w:r>
              <w:rPr>
                <w:rFonts w:ascii="Calibri" w:hAnsi="Calibri"/>
                <w:b w:val="0"/>
                <w:color w:val="333333"/>
                <w:sz w:val="19"/>
              </w:rPr>
              <w:t>A feature belongs to every zone it touches</w:t>
            </w:r>
          </w:p>
        </w:tc>
        <w:tc>
          <w:tcPr>
            <w:tcW w:type="dxa" w:w="3312"/>
            <w:shd w:val="clear" w:fill="F0F0F8"/>
          </w:tcPr>
          <w:p>
            <w:pPr>
              <w:spacing w:after="20" w:before="20"/>
            </w:pPr>
            <w:r/>
            <w:r>
              <w:rPr>
                <w:rFonts w:ascii="Calibri" w:hAnsi="Calibri"/>
                <w:b w:val="0"/>
                <w:color w:val="333333"/>
                <w:sz w:val="19"/>
              </w:rPr>
              <w:t>A feature crossing a boundary is counted in both zones</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1E1A4B"/>
                <w:sz w:val="21"/>
              </w:rPr>
              <w:t xml:space="preserve">Only numeric fields are offered. </w:t>
            </w:r>
            <w:r>
              <w:rPr>
                <w:rFonts w:ascii="Calibri" w:hAnsi="Calibri"/>
                <w:b w:val="0"/>
                <w:color w:val="1E1A4B"/>
                <w:sz w:val="21"/>
              </w:rPr>
              <w:t>If the field you expect is missing from the list, its values are stored as text in the source data. Count and Total area do not need a field at all.</w:t>
            </w:r>
          </w:p>
        </w:tc>
      </w:tr>
    </w:tbl>
    <w:p>
      <w:pPr>
        <w:spacing w:after="80"/>
      </w:pPr>
    </w:p>
    <w:p>
      <w:pPr>
        <w:spacing w:after="120"/>
      </w:pPr>
      <w:r>
        <w:rPr>
          <w:rFonts w:ascii="Calibri" w:hAnsi="Calibri"/>
          <w:b w:val="0"/>
          <w:i w:val="0"/>
          <w:color w:val="333333"/>
          <w:sz w:val="22"/>
        </w:rPr>
      </w:r>
    </w:p>
    <w:p>
      <w:pPr>
        <w:spacing w:after="120"/>
      </w:pPr>
      <w:r>
        <w:rPr>
          <w:rFonts w:ascii="Calibri" w:hAnsi="Calibri"/>
          <w:b/>
          <w:i w:val="0"/>
          <w:color w:val="1E1A4B"/>
          <w:sz w:val="22"/>
        </w:rPr>
        <w:t>Elevation per parcel or zone (using the contours layer)</w:t>
      </w:r>
    </w:p>
    <w:p>
      <w:pPr>
        <w:spacing w:after="120"/>
      </w:pPr>
      <w:r>
        <w:rPr>
          <w:rFonts w:ascii="Calibri" w:hAnsi="Calibri"/>
          <w:b w:val="0"/>
          <w:i w:val="0"/>
          <w:color w:val="333333"/>
          <w:sz w:val="22"/>
        </w:rPr>
        <w:t xml:space="preserve">Set Zone layer to Parcels or Collector Zones, Features to summarise to </w:t>
      </w:r>
      <w:r>
        <w:rPr>
          <w:rFonts w:ascii="Calibri" w:hAnsi="Calibri"/>
          <w:b/>
          <w:i w:val="0"/>
          <w:color w:val="333333"/>
          <w:sz w:val="22"/>
        </w:rPr>
        <w:t>Contours hillshade</w:t>
      </w:r>
      <w:r>
        <w:rPr>
          <w:rFonts w:ascii="Calibri" w:hAnsi="Calibri"/>
          <w:b w:val="0"/>
          <w:i w:val="0"/>
          <w:color w:val="333333"/>
          <w:sz w:val="22"/>
        </w:rPr>
        <w:t xml:space="preserve">, and Numeric field to </w:t>
      </w:r>
      <w:r>
        <w:rPr>
          <w:rFonts w:ascii="Calibri" w:hAnsi="Calibri"/>
          <w:b/>
          <w:i w:val="0"/>
          <w:color w:val="333333"/>
          <w:sz w:val="22"/>
        </w:rPr>
        <w:t>elev</w:t>
      </w:r>
      <w:r>
        <w:rPr>
          <w:rFonts w:ascii="Calibri" w:hAnsi="Calibri"/>
          <w:b w:val="0"/>
          <w:i w:val="0"/>
          <w:color w:val="333333"/>
          <w:sz w:val="22"/>
        </w:rPr>
        <w:t>. Then:</w:t>
      </w:r>
    </w:p>
    <w:p>
      <w:pPr>
        <w:spacing w:after="60"/>
        <w:ind w:left="403" w:hanging="259"/>
      </w:pPr>
      <w:r>
        <w:rPr>
          <w:rFonts w:ascii="Calibri" w:hAnsi="Calibri"/>
          <w:b/>
          <w:color w:val="1E1A4B"/>
          <w:sz w:val="22"/>
        </w:rPr>
        <w:t>•</w:t>
        <w:tab/>
      </w:r>
      <w:r>
        <w:rPr>
          <w:rFonts w:ascii="Calibri" w:hAnsi="Calibri"/>
          <w:b/>
          <w:i w:val="0"/>
          <w:color w:val="333333"/>
          <w:sz w:val="22"/>
        </w:rPr>
        <w:t>Minimum and Maximum</w:t>
      </w:r>
      <w:r>
        <w:rPr>
          <w:rFonts w:ascii="Calibri" w:hAnsi="Calibri"/>
          <w:b w:val="0"/>
          <w:i w:val="0"/>
          <w:color w:val="333333"/>
          <w:sz w:val="22"/>
        </w:rPr>
        <w:t xml:space="preserve"> give the elevation range of the zone in metres — the useful figures.</w:t>
      </w:r>
    </w:p>
    <w:p>
      <w:pPr>
        <w:spacing w:after="60"/>
        <w:ind w:left="403" w:hanging="259"/>
      </w:pPr>
      <w:r>
        <w:rPr>
          <w:rFonts w:ascii="Calibri" w:hAnsi="Calibri"/>
          <w:b/>
          <w:color w:val="1E1A4B"/>
          <w:sz w:val="22"/>
        </w:rPr>
        <w:t>•</w:t>
        <w:tab/>
      </w:r>
      <w:r>
        <w:rPr>
          <w:rFonts w:ascii="Calibri" w:hAnsi="Calibri"/>
          <w:b/>
          <w:i w:val="0"/>
          <w:color w:val="333333"/>
          <w:sz w:val="22"/>
        </w:rPr>
        <w:t>Count</w:t>
      </w:r>
      <w:r>
        <w:rPr>
          <w:rFonts w:ascii="Calibri" w:hAnsi="Calibri"/>
          <w:b w:val="0"/>
          <w:i w:val="0"/>
          <w:color w:val="333333"/>
          <w:sz w:val="22"/>
        </w:rPr>
        <w:t xml:space="preserve"> is the number of contour segments in the zone — of little use on its own.</w:t>
      </w:r>
    </w:p>
    <w:p>
      <w:pPr>
        <w:spacing w:after="60"/>
        <w:ind w:left="403" w:hanging="259"/>
      </w:pPr>
      <w:r>
        <w:rPr>
          <w:rFonts w:ascii="Calibri" w:hAnsi="Calibri"/>
          <w:b/>
          <w:color w:val="1E1A4B"/>
          <w:sz w:val="22"/>
        </w:rPr>
        <w:t>•</w:t>
        <w:tab/>
      </w:r>
      <w:r>
        <w:rPr>
          <w:rFonts w:ascii="Calibri" w:hAnsi="Calibri"/>
          <w:b/>
          <w:i w:val="0"/>
          <w:color w:val="333333"/>
          <w:sz w:val="22"/>
        </w:rPr>
        <w:t>Total area</w:t>
      </w:r>
      <w:r>
        <w:rPr>
          <w:rFonts w:ascii="Calibri" w:hAnsi="Calibri"/>
          <w:b w:val="0"/>
          <w:i w:val="0"/>
          <w:color w:val="333333"/>
          <w:sz w:val="22"/>
        </w:rPr>
        <w:t xml:space="preserve"> reports 0 for contours, because lines enclose no area.</w:t>
      </w:r>
    </w:p>
    <w:tbl>
      <w:tblPr>
        <w:tblW w:type="auto" w:w="0"/>
        <w:tblLayout w:type="fixed"/>
        <w:tblLook w:firstColumn="1" w:firstRow="1" w:lastColumn="0" w:lastRow="0" w:noHBand="0" w:noVBand="1" w:val="04A0"/>
        <w:tblBorders>
          <w:top w:val="single" w:sz="4" w:space="0" w:color="FDBA74"/>
          <w:left w:val="single" w:sz="4" w:space="0" w:color="FDBA74"/>
          <w:bottom w:val="single" w:sz="4" w:space="0" w:color="FDBA74"/>
          <w:right w:val="single" w:sz="4" w:space="0" w:color="FDBA74"/>
        </w:tblBorders>
      </w:tblPr>
      <w:tblGrid>
        <w:gridCol w:w="9026"/>
      </w:tblGrid>
      <w:tr>
        <w:tc>
          <w:tcPr>
            <w:tcW w:type="dxa" w:w="9936"/>
            <w:shd w:val="clear" w:fill="FFF7ED"/>
          </w:tcPr>
          <w:p>
            <w:pPr>
              <w:spacing w:before="80" w:after="80"/>
            </w:pPr>
            <w:r/>
            <w:r>
              <w:rPr>
                <w:rFonts w:ascii="Calibri" w:hAnsi="Calibri"/>
                <w:b/>
                <w:color w:val="333333"/>
                <w:sz w:val="21"/>
              </w:rPr>
              <w:t xml:space="preserve">Use Minimum and Maximum, not Mean, for elevation. </w:t>
            </w:r>
            <w:r>
              <w:rPr>
                <w:rFonts w:ascii="Calibri" w:hAnsi="Calibri"/>
                <w:b w:val="0"/>
                <w:color w:val="333333"/>
                <w:sz w:val="21"/>
              </w:rPr>
              <w:t>Minimum and Maximum give the lowest and highest contour crossing each zone — a reliable elevation range. Mean averages the contour segments present, and segment count has no relation to how much land lies at each height, so it is not the average ground elevation of the zone. A true average elevation needs the raster elevation model, which comes with Stage 2. The panel shows this warning automatically, and it is carried into the Excel export.</w:t>
            </w:r>
          </w:p>
        </w:tc>
      </w:tr>
    </w:tbl>
    <w:p/>
    <w:p>
      <w:pPr>
        <w:pStyle w:val="berschrift1"/>
      </w:pPr>
      <w:r>
        <w:t>7. Reading the results</w:t>
      </w:r>
    </w:p>
    <w:p>
      <w:pPr>
        <w:spacing w:after="120"/>
      </w:pPr>
      <w:r>
        <w:rPr>
          <w:rFonts w:ascii="Calibri" w:hAnsi="Calibri"/>
          <w:b w:val="0"/>
          <w:i w:val="0"/>
          <w:color w:val="333333"/>
          <w:sz w:val="22"/>
        </w:rPr>
        <w:t>A successful run produces two things.</w:t>
      </w:r>
    </w:p>
    <w:p>
      <w:pPr>
        <w:pStyle w:val="berschrift2"/>
      </w:pPr>
      <w:r>
        <w:t>7.1 A table in the panel</w:t>
      </w:r>
    </w:p>
    <w:p>
      <w:pPr>
        <w:spacing w:after="120"/>
      </w:pPr>
      <w:r>
        <w:rPr>
          <w:rFonts w:ascii="Calibri" w:hAnsi="Calibri"/>
          <w:b w:val="0"/>
          <w:i w:val="0"/>
          <w:color w:val="333333"/>
          <w:sz w:val="22"/>
        </w:rPr>
        <w:t>Zonal statistics shows an immediate table of the figures, one row per zone. Use this for a quick read or to copy numbers into a report.</w:t>
      </w:r>
    </w:p>
    <w:p>
      <w:pPr>
        <w:spacing w:after="120"/>
      </w:pPr>
      <w:r>
        <w:rPr>
          <w:rFonts w:ascii="Calibri" w:hAnsi="Calibri"/>
          <w:b/>
          <w:i w:val="0"/>
          <w:color w:val="333333"/>
          <w:sz w:val="22"/>
        </w:rPr>
        <w:t>Export the table to Excel.</w:t>
      </w:r>
      <w:r>
        <w:rPr>
          <w:rFonts w:ascii="Calibri" w:hAnsi="Calibri"/>
          <w:b w:val="0"/>
          <w:i w:val="0"/>
          <w:color w:val="333333"/>
          <w:sz w:val="22"/>
        </w:rPr>
        <w:t xml:space="preserve"> After a zonal run, an </w:t>
      </w:r>
      <w:r>
        <w:rPr>
          <w:rFonts w:ascii="Calibri" w:hAnsi="Calibri"/>
          <w:b/>
          <w:i w:val="0"/>
          <w:color w:val="333333"/>
          <w:sz w:val="22"/>
        </w:rPr>
        <w:t>Export table (Excel)</w:t>
      </w:r>
      <w:r>
        <w:rPr>
          <w:rFonts w:ascii="Calibri" w:hAnsi="Calibri"/>
          <w:b w:val="0"/>
          <w:i w:val="0"/>
          <w:color w:val="333333"/>
          <w:sz w:val="22"/>
        </w:rPr>
        <w:t xml:space="preserve"> button appears at the bottom of the panel. It downloads an .xlsx workbook with two sheets:</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2160"/>
            <w:shd w:val="clear" w:fill="1E1A4B"/>
          </w:tcPr>
          <w:p>
            <w:pPr>
              <w:spacing w:after="20" w:before="20"/>
            </w:pPr>
            <w:r/>
            <w:r>
              <w:rPr>
                <w:rFonts w:ascii="Calibri" w:hAnsi="Calibri"/>
                <w:b/>
                <w:color w:val="FFFFFF"/>
                <w:sz w:val="20"/>
              </w:rPr>
              <w:t>Sheet</w:t>
            </w:r>
          </w:p>
        </w:tc>
        <w:tc>
          <w:tcPr>
            <w:tcW w:type="dxa" w:w="7776"/>
            <w:shd w:val="clear" w:fill="1E1A4B"/>
          </w:tcPr>
          <w:p>
            <w:pPr>
              <w:spacing w:after="20" w:before="20"/>
            </w:pPr>
            <w:r/>
            <w:r>
              <w:rPr>
                <w:rFonts w:ascii="Calibri" w:hAnsi="Calibri"/>
                <w:b/>
                <w:color w:val="FFFFFF"/>
                <w:sz w:val="20"/>
              </w:rPr>
              <w:t>Contains</w:t>
            </w:r>
          </w:p>
        </w:tc>
      </w:tr>
      <w:tr>
        <w:trPr>
          <w:cantSplit/>
        </w:trPr>
        <w:tc>
          <w:tcPr>
            <w:tcW w:type="dxa" w:w="2160"/>
            <w:shd w:val="clear" w:fill="FFFFFF"/>
          </w:tcPr>
          <w:p>
            <w:pPr>
              <w:spacing w:after="20" w:before="20"/>
            </w:pPr>
            <w:r/>
            <w:r>
              <w:rPr>
                <w:rFonts w:ascii="Calibri" w:hAnsi="Calibri"/>
                <w:b/>
                <w:color w:val="333333"/>
                <w:sz w:val="19"/>
              </w:rPr>
              <w:t>Parameters</w:t>
            </w:r>
          </w:p>
        </w:tc>
        <w:tc>
          <w:tcPr>
            <w:tcW w:type="dxa" w:w="7776"/>
            <w:shd w:val="clear" w:fill="FFFFFF"/>
          </w:tcPr>
          <w:p>
            <w:pPr>
              <w:spacing w:after="20" w:before="20"/>
            </w:pPr>
            <w:r/>
            <w:r>
              <w:rPr>
                <w:rFonts w:ascii="Calibri" w:hAnsi="Calibri"/>
                <w:b w:val="0"/>
                <w:color w:val="333333"/>
                <w:sz w:val="19"/>
              </w:rPr>
              <w:t>Every setting that produced the table — the zone layer and the layer summarised (with their feature counts), the Apply to scope, the Counted when rule, the statistics chosen, the numeric field, and the date exported</w:t>
            </w:r>
          </w:p>
        </w:tc>
      </w:tr>
      <w:tr>
        <w:trPr>
          <w:cantSplit/>
        </w:trPr>
        <w:tc>
          <w:tcPr>
            <w:tcW w:type="dxa" w:w="2160"/>
            <w:shd w:val="clear" w:fill="F0F0F8"/>
          </w:tcPr>
          <w:p>
            <w:pPr>
              <w:spacing w:after="20" w:before="20"/>
            </w:pPr>
            <w:r/>
            <w:r>
              <w:rPr>
                <w:rFonts w:ascii="Calibri" w:hAnsi="Calibri"/>
                <w:b/>
                <w:color w:val="333333"/>
                <w:sz w:val="19"/>
              </w:rPr>
              <w:t>Results</w:t>
            </w:r>
          </w:p>
        </w:tc>
        <w:tc>
          <w:tcPr>
            <w:tcW w:type="dxa" w:w="7776"/>
            <w:shd w:val="clear" w:fill="F0F0F8"/>
          </w:tcPr>
          <w:p>
            <w:pPr>
              <w:spacing w:after="20" w:before="20"/>
            </w:pPr>
            <w:r/>
            <w:r>
              <w:rPr>
                <w:rFonts w:ascii="Calibri" w:hAnsi="Calibri"/>
                <w:b w:val="0"/>
                <w:color w:val="333333"/>
                <w:sz w:val="19"/>
              </w:rPr>
              <w:t>The table itself, one row per zone, with the figures as real numbers ready for further calculation</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EEF2FF"/>
          </w:tcPr>
          <w:p>
            <w:pPr>
              <w:spacing w:before="80" w:after="80"/>
            </w:pPr>
            <w:r/>
            <w:r>
              <w:rPr>
                <w:rFonts w:ascii="Calibri" w:hAnsi="Calibri"/>
                <w:b/>
                <w:color w:val="1E1A4B"/>
                <w:sz w:val="21"/>
              </w:rPr>
              <w:t xml:space="preserve">Why the parameters sheet matters. </w:t>
            </w:r>
            <w:r>
              <w:rPr>
                <w:rFonts w:ascii="Calibri" w:hAnsi="Calibri"/>
                <w:b w:val="0"/>
                <w:color w:val="1E1A4B"/>
                <w:sz w:val="21"/>
              </w:rPr>
              <w:t>A table of numbers on its own cannot be checked or repeated later. Because the workbook records how the figures were produced, a colleague can verify the result — or reproduce it — months afterwards. Always keep the two sheets together.</w:t>
            </w:r>
          </w:p>
        </w:tc>
      </w:tr>
    </w:tbl>
    <w:p>
      <w:pPr>
        <w:spacing w:after="80"/>
      </w:pPr>
    </w:p>
    <w:p>
      <w:pPr>
        <w:pStyle w:val="berschrift2"/>
      </w:pPr>
      <w:r>
        <w:t>7.2 A new map layer</w:t>
      </w:r>
    </w:p>
    <w:p>
      <w:pPr>
        <w:spacing w:after="120"/>
      </w:pPr>
      <w:r>
        <w:rPr>
          <w:rFonts w:ascii="Calibri" w:hAnsi="Calibri"/>
          <w:b w:val="0"/>
          <w:i w:val="0"/>
          <w:color w:val="333333"/>
          <w:sz w:val="22"/>
        </w:rPr>
        <w:t xml:space="preserve">The result is added to a layer group called </w:t>
      </w:r>
      <w:r>
        <w:rPr>
          <w:rFonts w:ascii="Calibri" w:hAnsi="Calibri"/>
          <w:b/>
          <w:i w:val="0"/>
          <w:color w:val="333333"/>
          <w:sz w:val="22"/>
        </w:rPr>
        <w:t>Analysis</w:t>
      </w:r>
      <w:r>
        <w:rPr>
          <w:rFonts w:ascii="Calibri" w:hAnsi="Calibri"/>
          <w:b w:val="0"/>
          <w:i w:val="0"/>
          <w:color w:val="333333"/>
          <w:sz w:val="22"/>
        </w:rPr>
        <w:t xml:space="preserve"> in the Layer Switcher, drawn in orange so it stands out from the source data. Click any feature to inspect its attributes.</w:t>
      </w:r>
    </w:p>
    <w:p>
      <w:pPr>
        <w:spacing w:after="60"/>
      </w:pPr>
      <w:r>
        <w:rPr>
          <w:rFonts w:ascii="Calibri" w:hAnsi="Calibri"/>
          <w:b w:val="0"/>
          <w:i w:val="0"/>
          <w:color w:val="333333"/>
          <w:sz w:val="22"/>
        </w:rPr>
        <w:t xml:space="preserve">Zonal statistics writes its figures onto each zone as new fields, all prefixed </w:t>
      </w:r>
      <w:r>
        <w:rPr>
          <w:rFonts w:ascii="Calibri" w:hAnsi="Calibri"/>
          <w:b/>
          <w:i w:val="0"/>
          <w:color w:val="333333"/>
          <w:sz w:val="22"/>
        </w:rPr>
        <w:t>zs_</w:t>
      </w:r>
      <w:r>
        <w:rPr>
          <w:rFonts w:ascii="Calibri" w:hAnsi="Calibri"/>
          <w:b w:val="0"/>
          <w:i w:val="0"/>
          <w:color w:val="333333"/>
          <w:sz w:val="22"/>
        </w:rPr>
        <w:t>:</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2880"/>
            <w:shd w:val="clear" w:fill="1E1A4B"/>
          </w:tcPr>
          <w:p>
            <w:pPr>
              <w:spacing w:after="20" w:before="20"/>
            </w:pPr>
            <w:r/>
            <w:r>
              <w:rPr>
                <w:rFonts w:ascii="Calibri" w:hAnsi="Calibri"/>
                <w:b/>
                <w:color w:val="FFFFFF"/>
                <w:sz w:val="20"/>
              </w:rPr>
              <w:t>Field</w:t>
            </w:r>
          </w:p>
        </w:tc>
        <w:tc>
          <w:tcPr>
            <w:tcW w:type="dxa" w:w="7056"/>
            <w:shd w:val="clear" w:fill="1E1A4B"/>
          </w:tcPr>
          <w:p>
            <w:pPr>
              <w:spacing w:after="20" w:before="20"/>
            </w:pPr>
            <w:r/>
            <w:r>
              <w:rPr>
                <w:rFonts w:ascii="Calibri" w:hAnsi="Calibri"/>
                <w:b/>
                <w:color w:val="FFFFFF"/>
                <w:sz w:val="20"/>
              </w:rPr>
              <w:t>Contains</w:t>
            </w:r>
          </w:p>
        </w:tc>
      </w:tr>
      <w:tr>
        <w:trPr>
          <w:cantSplit/>
        </w:trPr>
        <w:tc>
          <w:tcPr>
            <w:tcW w:type="dxa" w:w="2880"/>
            <w:shd w:val="clear" w:fill="FFFFFF"/>
          </w:tcPr>
          <w:p>
            <w:pPr>
              <w:spacing w:after="20" w:before="20"/>
            </w:pPr>
            <w:r/>
            <w:r>
              <w:rPr>
                <w:rFonts w:ascii="Calibri" w:hAnsi="Calibri"/>
                <w:b/>
                <w:color w:val="333333"/>
                <w:sz w:val="19"/>
              </w:rPr>
              <w:t>zs_count</w:t>
            </w:r>
          </w:p>
        </w:tc>
        <w:tc>
          <w:tcPr>
            <w:tcW w:type="dxa" w:w="7056"/>
            <w:shd w:val="clear" w:fill="FFFFFF"/>
          </w:tcPr>
          <w:p>
            <w:pPr>
              <w:spacing w:after="20" w:before="20"/>
            </w:pPr>
            <w:r/>
            <w:r>
              <w:rPr>
                <w:rFonts w:ascii="Calibri" w:hAnsi="Calibri"/>
                <w:b w:val="0"/>
                <w:color w:val="333333"/>
                <w:sz w:val="19"/>
              </w:rPr>
              <w:t>Number of features in the zone</w:t>
            </w:r>
          </w:p>
        </w:tc>
      </w:tr>
      <w:tr>
        <w:trPr>
          <w:cantSplit/>
        </w:trPr>
        <w:tc>
          <w:tcPr>
            <w:tcW w:type="dxa" w:w="2880"/>
            <w:shd w:val="clear" w:fill="F0F0F8"/>
          </w:tcPr>
          <w:p>
            <w:pPr>
              <w:spacing w:after="20" w:before="20"/>
            </w:pPr>
            <w:r/>
            <w:r>
              <w:rPr>
                <w:rFonts w:ascii="Calibri" w:hAnsi="Calibri"/>
                <w:b/>
                <w:color w:val="333333"/>
                <w:sz w:val="19"/>
              </w:rPr>
              <w:t>zs_sum</w:t>
            </w:r>
          </w:p>
        </w:tc>
        <w:tc>
          <w:tcPr>
            <w:tcW w:type="dxa" w:w="7056"/>
            <w:shd w:val="clear" w:fill="F0F0F8"/>
          </w:tcPr>
          <w:p>
            <w:pPr>
              <w:spacing w:after="20" w:before="20"/>
            </w:pPr>
            <w:r/>
            <w:r>
              <w:rPr>
                <w:rFonts w:ascii="Calibri" w:hAnsi="Calibri"/>
                <w:b w:val="0"/>
                <w:color w:val="333333"/>
                <w:sz w:val="19"/>
              </w:rPr>
              <w:t>Sum of the chosen numeric field</w:t>
            </w:r>
          </w:p>
        </w:tc>
      </w:tr>
      <w:tr>
        <w:trPr>
          <w:cantSplit/>
        </w:trPr>
        <w:tc>
          <w:tcPr>
            <w:tcW w:type="dxa" w:w="2880"/>
            <w:shd w:val="clear" w:fill="FFFFFF"/>
          </w:tcPr>
          <w:p>
            <w:pPr>
              <w:spacing w:after="20" w:before="20"/>
            </w:pPr>
            <w:r/>
            <w:r>
              <w:rPr>
                <w:rFonts w:ascii="Calibri" w:hAnsi="Calibri"/>
                <w:b/>
                <w:color w:val="333333"/>
                <w:sz w:val="19"/>
              </w:rPr>
              <w:t>zs_mean</w:t>
            </w:r>
          </w:p>
        </w:tc>
        <w:tc>
          <w:tcPr>
            <w:tcW w:type="dxa" w:w="7056"/>
            <w:shd w:val="clear" w:fill="FFFFFF"/>
          </w:tcPr>
          <w:p>
            <w:pPr>
              <w:spacing w:after="20" w:before="20"/>
            </w:pPr>
            <w:r/>
            <w:r>
              <w:rPr>
                <w:rFonts w:ascii="Calibri" w:hAnsi="Calibri"/>
                <w:b w:val="0"/>
                <w:color w:val="333333"/>
                <w:sz w:val="19"/>
              </w:rPr>
              <w:t>Average of the chosen numeric field</w:t>
            </w:r>
          </w:p>
        </w:tc>
      </w:tr>
      <w:tr>
        <w:trPr>
          <w:cantSplit/>
        </w:trPr>
        <w:tc>
          <w:tcPr>
            <w:tcW w:type="dxa" w:w="2880"/>
            <w:shd w:val="clear" w:fill="F0F0F8"/>
          </w:tcPr>
          <w:p>
            <w:pPr>
              <w:spacing w:after="20" w:before="20"/>
            </w:pPr>
            <w:r/>
            <w:r>
              <w:rPr>
                <w:rFonts w:ascii="Calibri" w:hAnsi="Calibri"/>
                <w:b/>
                <w:color w:val="333333"/>
                <w:sz w:val="19"/>
              </w:rPr>
              <w:t>zs_min  /  zs_max</w:t>
            </w:r>
          </w:p>
        </w:tc>
        <w:tc>
          <w:tcPr>
            <w:tcW w:type="dxa" w:w="7056"/>
            <w:shd w:val="clear" w:fill="F0F0F8"/>
          </w:tcPr>
          <w:p>
            <w:pPr>
              <w:spacing w:after="20" w:before="20"/>
            </w:pPr>
            <w:r/>
            <w:r>
              <w:rPr>
                <w:rFonts w:ascii="Calibri" w:hAnsi="Calibri"/>
                <w:b w:val="0"/>
                <w:color w:val="333333"/>
                <w:sz w:val="19"/>
              </w:rPr>
              <w:t>Lowest and highest value of that field</w:t>
            </w:r>
          </w:p>
        </w:tc>
      </w:tr>
      <w:tr>
        <w:trPr>
          <w:cantSplit/>
        </w:trPr>
        <w:tc>
          <w:tcPr>
            <w:tcW w:type="dxa" w:w="2880"/>
            <w:shd w:val="clear" w:fill="FFFFFF"/>
          </w:tcPr>
          <w:p>
            <w:pPr>
              <w:spacing w:after="20" w:before="20"/>
            </w:pPr>
            <w:r/>
            <w:r>
              <w:rPr>
                <w:rFonts w:ascii="Calibri" w:hAnsi="Calibri"/>
                <w:b/>
                <w:color w:val="333333"/>
                <w:sz w:val="19"/>
              </w:rPr>
              <w:t>zs_area_m2</w:t>
            </w:r>
          </w:p>
        </w:tc>
        <w:tc>
          <w:tcPr>
            <w:tcW w:type="dxa" w:w="7056"/>
            <w:shd w:val="clear" w:fill="FFFFFF"/>
          </w:tcPr>
          <w:p>
            <w:pPr>
              <w:spacing w:after="20" w:before="20"/>
            </w:pPr>
            <w:r/>
            <w:r>
              <w:rPr>
                <w:rFonts w:ascii="Calibri" w:hAnsi="Calibri"/>
                <w:b w:val="0"/>
                <w:color w:val="333333"/>
                <w:sz w:val="19"/>
              </w:rPr>
              <w:t>Combined area of the counted features, in square metres</w:t>
            </w:r>
          </w:p>
        </w:tc>
      </w:tr>
    </w:tbl>
    <w:p>
      <w:pPr>
        <w:spacing w:after="80"/>
      </w:pPr>
    </w:p>
    <w:tbl>
      <w:tblPr>
        <w:tblW w:type="auto" w:w="0"/>
        <w:tblLayout w:type="fixed"/>
        <w:tblLook w:firstColumn="1" w:firstRow="1" w:lastColumn="0" w:lastRow="0" w:noHBand="0" w:noVBand="1" w:val="04A0"/>
        <w:tblBorders>
          <w:top w:val="single" w:sz="4" w:space="0" w:color="C7D2FE"/>
          <w:left w:val="single" w:sz="4" w:space="0" w:color="C7D2FE"/>
          <w:bottom w:val="single" w:sz="4" w:space="0" w:color="C7D2FE"/>
          <w:right w:val="single" w:sz="4" w:space="0" w:color="C7D2FE"/>
        </w:tblBorders>
      </w:tblPr>
      <w:tblGrid>
        <w:gridCol w:w="9026"/>
      </w:tblGrid>
      <w:tr>
        <w:tc>
          <w:tcPr>
            <w:tcW w:type="dxa" w:w="9936"/>
            <w:shd w:val="clear" w:fill="F0FDF4"/>
          </w:tcPr>
          <w:p>
            <w:pPr>
              <w:spacing w:before="80" w:after="80"/>
            </w:pPr>
            <w:r/>
            <w:r>
              <w:rPr>
                <w:rFonts w:ascii="Calibri" w:hAnsi="Calibri"/>
                <w:b/>
                <w:color w:val="333333"/>
                <w:sz w:val="21"/>
              </w:rPr>
              <w:t xml:space="preserve">Results are layers like any other. </w:t>
            </w:r>
            <w:r>
              <w:rPr>
                <w:rFonts w:ascii="Calibri" w:hAnsi="Calibri"/>
                <w:b w:val="0"/>
                <w:color w:val="333333"/>
                <w:sz w:val="21"/>
              </w:rPr>
              <w:t>They can be styled, switched on and off, and exported through the normal GIS export (GeoJSON, Shapefile or KML) for use in QGIS or a report.</w:t>
            </w:r>
          </w:p>
        </w:tc>
      </w:tr>
    </w:tbl>
    <w:p>
      <w:pPr>
        <w:spacing w:after="80"/>
      </w:pPr>
    </w:p>
    <w:p>
      <w:pPr>
        <w:pStyle w:val="berschrift1"/>
      </w:pPr>
      <w:r>
        <w:t>8. If something does not work</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3009"/>
        <w:gridCol w:w="3009"/>
        <w:gridCol w:w="3009"/>
      </w:tblGrid>
      <w:tr>
        <w:trPr>
          <w:tblHeader w:val="true"/>
        </w:trPr>
        <w:tc>
          <w:tcPr>
            <w:tcW w:type="dxa" w:w="3168"/>
            <w:shd w:val="clear" w:fill="1E1A4B"/>
          </w:tcPr>
          <w:p>
            <w:pPr>
              <w:spacing w:after="20" w:before="20"/>
            </w:pPr>
            <w:r/>
            <w:r>
              <w:rPr>
                <w:rFonts w:ascii="Calibri" w:hAnsi="Calibri"/>
                <w:b/>
                <w:color w:val="FFFFFF"/>
                <w:sz w:val="20"/>
              </w:rPr>
              <w:t>What you see</w:t>
            </w:r>
          </w:p>
        </w:tc>
        <w:tc>
          <w:tcPr>
            <w:tcW w:type="dxa" w:w="3168"/>
            <w:shd w:val="clear" w:fill="1E1A4B"/>
          </w:tcPr>
          <w:p>
            <w:pPr>
              <w:spacing w:after="20" w:before="20"/>
            </w:pPr>
            <w:r/>
            <w:r>
              <w:rPr>
                <w:rFonts w:ascii="Calibri" w:hAnsi="Calibri"/>
                <w:b/>
                <w:color w:val="FFFFFF"/>
                <w:sz w:val="20"/>
              </w:rPr>
              <w:t>Why</w:t>
            </w:r>
          </w:p>
        </w:tc>
        <w:tc>
          <w:tcPr>
            <w:tcW w:type="dxa" w:w="3600"/>
            <w:shd w:val="clear" w:fill="1E1A4B"/>
          </w:tcPr>
          <w:p>
            <w:pPr>
              <w:spacing w:after="20" w:before="20"/>
            </w:pPr>
            <w:r/>
            <w:r>
              <w:rPr>
                <w:rFonts w:ascii="Calibri" w:hAnsi="Calibri"/>
                <w:b/>
                <w:color w:val="FFFFFF"/>
                <w:sz w:val="20"/>
              </w:rPr>
              <w:t>What to do</w:t>
            </w:r>
          </w:p>
        </w:tc>
      </w:tr>
      <w:tr>
        <w:trPr>
          <w:cantSplit/>
        </w:trPr>
        <w:tc>
          <w:tcPr>
            <w:tcW w:type="dxa" w:w="3168"/>
            <w:shd w:val="clear" w:fill="FFFFFF"/>
          </w:tcPr>
          <w:p>
            <w:pPr>
              <w:spacing w:after="20" w:before="20"/>
            </w:pPr>
            <w:r/>
            <w:r>
              <w:rPr>
                <w:rFonts w:ascii="Calibri" w:hAnsi="Calibri"/>
                <w:b/>
                <w:color w:val="333333"/>
                <w:sz w:val="19"/>
              </w:rPr>
              <w:t>A layer is missing from the drop-down</w:t>
            </w:r>
          </w:p>
        </w:tc>
        <w:tc>
          <w:tcPr>
            <w:tcW w:type="dxa" w:w="3168"/>
            <w:shd w:val="clear" w:fill="FFFFFF"/>
          </w:tcPr>
          <w:p>
            <w:pPr>
              <w:spacing w:after="20" w:before="20"/>
            </w:pPr>
            <w:r/>
            <w:r>
              <w:rPr>
                <w:rFonts w:ascii="Calibri" w:hAnsi="Calibri"/>
                <w:b w:val="0"/>
                <w:color w:val="333333"/>
                <w:sz w:val="19"/>
              </w:rPr>
              <w:t>It has no features loaded, or it is a raster layer</w:t>
            </w:r>
          </w:p>
        </w:tc>
        <w:tc>
          <w:tcPr>
            <w:tcW w:type="dxa" w:w="3600"/>
            <w:shd w:val="clear" w:fill="FFFFFF"/>
          </w:tcPr>
          <w:p>
            <w:pPr>
              <w:spacing w:after="20" w:before="20"/>
            </w:pPr>
            <w:r/>
            <w:r>
              <w:rPr>
                <w:rFonts w:ascii="Calibri" w:hAnsi="Calibri"/>
                <w:b w:val="0"/>
                <w:color w:val="333333"/>
                <w:sz w:val="19"/>
              </w:rPr>
              <w:t>Zoom to the district and let the data load. Raster layers cannot be analysed in Stage 1.</w:t>
            </w:r>
          </w:p>
        </w:tc>
      </w:tr>
      <w:tr>
        <w:trPr>
          <w:cantSplit/>
        </w:trPr>
        <w:tc>
          <w:tcPr>
            <w:tcW w:type="dxa" w:w="3168"/>
            <w:shd w:val="clear" w:fill="F0F0F8"/>
          </w:tcPr>
          <w:p>
            <w:pPr>
              <w:spacing w:after="20" w:before="20"/>
            </w:pPr>
            <w:r/>
            <w:r>
              <w:rPr>
                <w:rFonts w:ascii="Calibri" w:hAnsi="Calibri"/>
                <w:b/>
                <w:color w:val="333333"/>
                <w:sz w:val="19"/>
              </w:rPr>
              <w:t>“No result features — the layers may not overlap.”</w:t>
            </w:r>
          </w:p>
        </w:tc>
        <w:tc>
          <w:tcPr>
            <w:tcW w:type="dxa" w:w="3168"/>
            <w:shd w:val="clear" w:fill="F0F0F8"/>
          </w:tcPr>
          <w:p>
            <w:pPr>
              <w:spacing w:after="20" w:before="20"/>
            </w:pPr>
            <w:r/>
            <w:r>
              <w:rPr>
                <w:rFonts w:ascii="Calibri" w:hAnsi="Calibri"/>
                <w:b w:val="0"/>
                <w:color w:val="333333"/>
                <w:sz w:val="19"/>
              </w:rPr>
              <w:t>The two layers genuinely do not meet in the chosen area</w:t>
            </w:r>
          </w:p>
        </w:tc>
        <w:tc>
          <w:tcPr>
            <w:tcW w:type="dxa" w:w="3600"/>
            <w:shd w:val="clear" w:fill="F0F0F8"/>
          </w:tcPr>
          <w:p>
            <w:pPr>
              <w:spacing w:after="20" w:before="20"/>
            </w:pPr>
            <w:r/>
            <w:r>
              <w:rPr>
                <w:rFonts w:ascii="Calibri" w:hAnsi="Calibri"/>
                <w:b w:val="0"/>
                <w:color w:val="333333"/>
                <w:sz w:val="19"/>
              </w:rPr>
              <w:t>Check you have the right layers, and that Apply to is not limiting you to the wrong area</w:t>
            </w:r>
          </w:p>
        </w:tc>
      </w:tr>
      <w:tr>
        <w:trPr>
          <w:cantSplit/>
        </w:trPr>
        <w:tc>
          <w:tcPr>
            <w:tcW w:type="dxa" w:w="3168"/>
            <w:shd w:val="clear" w:fill="FFFFFF"/>
          </w:tcPr>
          <w:p>
            <w:pPr>
              <w:spacing w:after="20" w:before="20"/>
            </w:pPr>
            <w:r/>
            <w:r>
              <w:rPr>
                <w:rFonts w:ascii="Calibri" w:hAnsi="Calibri"/>
                <w:b/>
                <w:color w:val="333333"/>
                <w:sz w:val="19"/>
              </w:rPr>
              <w:t>“Layer A has no features.”</w:t>
            </w:r>
          </w:p>
        </w:tc>
        <w:tc>
          <w:tcPr>
            <w:tcW w:type="dxa" w:w="3168"/>
            <w:shd w:val="clear" w:fill="FFFFFF"/>
          </w:tcPr>
          <w:p>
            <w:pPr>
              <w:spacing w:after="20" w:before="20"/>
            </w:pPr>
            <w:r/>
            <w:r>
              <w:rPr>
                <w:rFonts w:ascii="Calibri" w:hAnsi="Calibri"/>
                <w:b w:val="0"/>
                <w:color w:val="333333"/>
                <w:sz w:val="19"/>
              </w:rPr>
              <w:t>The scope has filtered everything out</w:t>
            </w:r>
          </w:p>
        </w:tc>
        <w:tc>
          <w:tcPr>
            <w:tcW w:type="dxa" w:w="3600"/>
            <w:shd w:val="clear" w:fill="FFFFFF"/>
          </w:tcPr>
          <w:p>
            <w:pPr>
              <w:spacing w:after="20" w:before="20"/>
            </w:pPr>
            <w:r/>
            <w:r>
              <w:rPr>
                <w:rFonts w:ascii="Calibri" w:hAnsi="Calibri"/>
                <w:b w:val="0"/>
                <w:color w:val="333333"/>
                <w:sz w:val="19"/>
              </w:rPr>
              <w:t>Set Apply to back to Whole layer, or zoom out so the features fall inside the view</w:t>
            </w:r>
          </w:p>
        </w:tc>
      </w:tr>
      <w:tr>
        <w:trPr>
          <w:cantSplit/>
        </w:trPr>
        <w:tc>
          <w:tcPr>
            <w:tcW w:type="dxa" w:w="3168"/>
            <w:shd w:val="clear" w:fill="F0F0F8"/>
          </w:tcPr>
          <w:p>
            <w:pPr>
              <w:spacing w:after="20" w:before="20"/>
            </w:pPr>
            <w:r/>
            <w:r>
              <w:rPr>
                <w:rFonts w:ascii="Calibri" w:hAnsi="Calibri"/>
                <w:b/>
                <w:color w:val="333333"/>
                <w:sz w:val="19"/>
              </w:rPr>
              <w:t>“Sum / mean / min / max need a numeric field.”</w:t>
            </w:r>
          </w:p>
        </w:tc>
        <w:tc>
          <w:tcPr>
            <w:tcW w:type="dxa" w:w="3168"/>
            <w:shd w:val="clear" w:fill="F0F0F8"/>
          </w:tcPr>
          <w:p>
            <w:pPr>
              <w:spacing w:after="20" w:before="20"/>
            </w:pPr>
            <w:r/>
            <w:r>
              <w:rPr>
                <w:rFonts w:ascii="Calibri" w:hAnsi="Calibri"/>
                <w:b w:val="0"/>
                <w:color w:val="333333"/>
                <w:sz w:val="19"/>
              </w:rPr>
              <w:t>A statistic needing a field was ticked, but no field chosen</w:t>
            </w:r>
          </w:p>
        </w:tc>
        <w:tc>
          <w:tcPr>
            <w:tcW w:type="dxa" w:w="3600"/>
            <w:shd w:val="clear" w:fill="F0F0F8"/>
          </w:tcPr>
          <w:p>
            <w:pPr>
              <w:spacing w:after="20" w:before="20"/>
            </w:pPr>
            <w:r/>
            <w:r>
              <w:rPr>
                <w:rFonts w:ascii="Calibri" w:hAnsi="Calibri"/>
                <w:b w:val="0"/>
                <w:color w:val="333333"/>
                <w:sz w:val="19"/>
              </w:rPr>
              <w:t>Pick a numeric field, or untick those statistics</w:t>
            </w:r>
          </w:p>
        </w:tc>
      </w:tr>
      <w:tr>
        <w:trPr>
          <w:cantSplit/>
        </w:trPr>
        <w:tc>
          <w:tcPr>
            <w:tcW w:type="dxa" w:w="3168"/>
            <w:shd w:val="clear" w:fill="FFFFFF"/>
          </w:tcPr>
          <w:p>
            <w:pPr>
              <w:spacing w:after="20" w:before="20"/>
            </w:pPr>
            <w:r/>
            <w:r>
              <w:rPr>
                <w:rFonts w:ascii="Calibri" w:hAnsi="Calibri"/>
                <w:b/>
                <w:color w:val="333333"/>
                <w:sz w:val="19"/>
              </w:rPr>
              <w:t>A message about too many overlapping pairs</w:t>
            </w:r>
          </w:p>
        </w:tc>
        <w:tc>
          <w:tcPr>
            <w:tcW w:type="dxa" w:w="3168"/>
            <w:shd w:val="clear" w:fill="FFFFFF"/>
          </w:tcPr>
          <w:p>
            <w:pPr>
              <w:spacing w:after="20" w:before="20"/>
            </w:pPr>
            <w:r/>
            <w:r>
              <w:rPr>
                <w:rFonts w:ascii="Calibri" w:hAnsi="Calibri"/>
                <w:b w:val="0"/>
                <w:color w:val="333333"/>
                <w:sz w:val="19"/>
              </w:rPr>
              <w:t>The area chosen is genuinely very large</w:t>
            </w:r>
          </w:p>
        </w:tc>
        <w:tc>
          <w:tcPr>
            <w:tcW w:type="dxa" w:w="3600"/>
            <w:shd w:val="clear" w:fill="FFFFFF"/>
          </w:tcPr>
          <w:p>
            <w:pPr>
              <w:spacing w:after="20" w:before="20"/>
            </w:pPr>
            <w:r/>
            <w:r>
              <w:rPr>
                <w:rFonts w:ascii="Calibri" w:hAnsi="Calibri"/>
                <w:b w:val="0"/>
                <w:color w:val="333333"/>
                <w:sz w:val="19"/>
              </w:rPr>
              <w:t>Narrow it with Apply to — current map view, a selection, or a drawn Circle / Area</w:t>
            </w:r>
          </w:p>
        </w:tc>
      </w:tr>
      <w:tr>
        <w:trPr>
          <w:cantSplit/>
        </w:trPr>
        <w:tc>
          <w:tcPr>
            <w:tcW w:type="dxa" w:w="3168"/>
            <w:shd w:val="clear" w:fill="F0F0F8"/>
          </w:tcPr>
          <w:p>
            <w:pPr>
              <w:spacing w:after="20" w:before="20"/>
            </w:pPr>
            <w:r/>
            <w:r>
              <w:rPr>
                <w:rFonts w:ascii="Calibri" w:hAnsi="Calibri"/>
                <w:b/>
                <w:color w:val="333333"/>
                <w:sz w:val="19"/>
              </w:rPr>
              <w:t>Nothing appears on the map</w:t>
            </w:r>
          </w:p>
        </w:tc>
        <w:tc>
          <w:tcPr>
            <w:tcW w:type="dxa" w:w="3168"/>
            <w:shd w:val="clear" w:fill="F0F0F8"/>
          </w:tcPr>
          <w:p>
            <w:pPr>
              <w:spacing w:after="20" w:before="20"/>
            </w:pPr>
            <w:r/>
            <w:r>
              <w:rPr>
                <w:rFonts w:ascii="Calibri" w:hAnsi="Calibri"/>
                <w:b w:val="0"/>
                <w:color w:val="333333"/>
                <w:sz w:val="19"/>
              </w:rPr>
              <w:t>The result layer may be switched off, or lie outside the current view</w:t>
            </w:r>
          </w:p>
        </w:tc>
        <w:tc>
          <w:tcPr>
            <w:tcW w:type="dxa" w:w="3600"/>
            <w:shd w:val="clear" w:fill="F0F0F8"/>
          </w:tcPr>
          <w:p>
            <w:pPr>
              <w:spacing w:after="20" w:before="20"/>
            </w:pPr>
            <w:r/>
            <w:r>
              <w:rPr>
                <w:rFonts w:ascii="Calibri" w:hAnsi="Calibri"/>
                <w:b w:val="0"/>
                <w:color w:val="333333"/>
                <w:sz w:val="19"/>
              </w:rPr>
              <w:t>Check the Analysis group in the Layer Switcher</w:t>
            </w:r>
          </w:p>
        </w:tc>
      </w:tr>
      <w:tr>
        <w:trPr>
          <w:cantSplit/>
        </w:trPr>
        <w:tc>
          <w:tcPr>
            <w:tcW w:type="dxa" w:w="3168"/>
            <w:shd w:val="clear" w:fill="FFFFFF"/>
          </w:tcPr>
          <w:p>
            <w:pPr>
              <w:spacing w:after="20" w:before="20"/>
            </w:pPr>
            <w:r/>
            <w:r>
              <w:rPr>
                <w:rFonts w:ascii="Calibri" w:hAnsi="Calibri"/>
                <w:b/>
                <w:color w:val="333333"/>
                <w:sz w:val="19"/>
              </w:rPr>
              <w:t>The Export table button is missing</w:t>
            </w:r>
          </w:p>
        </w:tc>
        <w:tc>
          <w:tcPr>
            <w:tcW w:type="dxa" w:w="3168"/>
            <w:shd w:val="clear" w:fill="FFFFFF"/>
          </w:tcPr>
          <w:p>
            <w:pPr>
              <w:spacing w:after="20" w:before="20"/>
            </w:pPr>
            <w:r/>
            <w:r>
              <w:rPr>
                <w:rFonts w:ascii="Calibri" w:hAnsi="Calibri"/>
                <w:b w:val="0"/>
                <w:color w:val="333333"/>
                <w:sz w:val="19"/>
              </w:rPr>
              <w:t>It appears only after a zonal statistics run — overlays produce map features, not a table</w:t>
            </w:r>
          </w:p>
        </w:tc>
        <w:tc>
          <w:tcPr>
            <w:tcW w:type="dxa" w:w="3600"/>
            <w:shd w:val="clear" w:fill="FFFFFF"/>
          </w:tcPr>
          <w:p>
            <w:pPr>
              <w:spacing w:after="20" w:before="20"/>
            </w:pPr>
            <w:r/>
            <w:r>
              <w:rPr>
                <w:rFonts w:ascii="Calibri" w:hAnsi="Calibri"/>
                <w:b w:val="0"/>
                <w:color w:val="333333"/>
                <w:sz w:val="19"/>
              </w:rPr>
              <w:t>Run a zonal statistics analysis first</w:t>
            </w:r>
          </w:p>
        </w:tc>
      </w:tr>
    </w:tbl>
    <w:p>
      <w:pPr>
        <w:spacing w:after="80"/>
      </w:pPr>
    </w:p>
    <w:p>
      <w:pPr>
        <w:spacing w:after="120"/>
      </w:pPr>
      <w:r>
        <w:rPr>
          <w:rFonts w:ascii="Calibri" w:hAnsi="Calibri"/>
          <w:b/>
          <w:i w:val="0"/>
          <w:color w:val="333333"/>
          <w:sz w:val="22"/>
        </w:rPr>
        <w:t xml:space="preserve">Performance note: </w:t>
      </w:r>
      <w:r>
        <w:rPr>
          <w:rFonts w:ascii="Calibri" w:hAnsi="Calibri"/>
          <w:b w:val="0"/>
          <w:i w:val="0"/>
          <w:color w:val="333333"/>
          <w:sz w:val="21"/>
        </w:rPr>
        <w:t>a district-scale run — 43 zones against about 25,000 parcels — completes in well under a second, so normal district work does not need to be filtered.</w:t>
      </w:r>
    </w:p>
    <w:p>
      <w:pPr>
        <w:pStyle w:val="berschrift1"/>
      </w:pPr>
      <w:r>
        <w:t>9. Quick reference</w:t>
      </w:r>
    </w:p>
    <w:tbl>
      <w:tblPr>
        <w:tblW w:type="auto" w:w="0"/>
        <w:tblLayout w:type="fixed"/>
        <w:tblLook w:firstColumn="1" w:firstRow="1" w:lastColumn="0" w:lastRow="0" w:noHBand="0" w:noVBand="1" w:val="04A0"/>
        <w:tblBorders>
          <w:top w:val="single" w:sz="4" w:space="0" w:color="D9D9E3"/>
          <w:left w:val="single" w:sz="4" w:space="0" w:color="D9D9E3"/>
          <w:bottom w:val="single" w:sz="4" w:space="0" w:color="D9D9E3"/>
          <w:right w:val="single" w:sz="4" w:space="0" w:color="D9D9E3"/>
          <w:insideH w:val="single" w:sz="4" w:space="0" w:color="D9D9E3"/>
          <w:insideV w:val="single" w:sz="4" w:space="0" w:color="D9D9E3"/>
        </w:tblBorders>
      </w:tblPr>
      <w:tblGrid>
        <w:gridCol w:w="4513"/>
        <w:gridCol w:w="4513"/>
      </w:tblGrid>
      <w:tr>
        <w:trPr>
          <w:tblHeader w:val="true"/>
        </w:trPr>
        <w:tc>
          <w:tcPr>
            <w:tcW w:type="dxa" w:w="3600"/>
            <w:shd w:val="clear" w:fill="1E1A4B"/>
          </w:tcPr>
          <w:p>
            <w:pPr>
              <w:spacing w:after="20" w:before="20"/>
            </w:pPr>
            <w:r/>
            <w:r>
              <w:rPr>
                <w:rFonts w:ascii="Calibri" w:hAnsi="Calibri"/>
                <w:b/>
                <w:color w:val="FFFFFF"/>
                <w:sz w:val="20"/>
              </w:rPr>
              <w:t>Task</w:t>
            </w:r>
          </w:p>
        </w:tc>
        <w:tc>
          <w:tcPr>
            <w:tcW w:type="dxa" w:w="6336"/>
            <w:shd w:val="clear" w:fill="1E1A4B"/>
          </w:tcPr>
          <w:p>
            <w:pPr>
              <w:spacing w:after="20" w:before="20"/>
            </w:pPr>
            <w:r/>
            <w:r>
              <w:rPr>
                <w:rFonts w:ascii="Calibri" w:hAnsi="Calibri"/>
                <w:b/>
                <w:color w:val="FFFFFF"/>
                <w:sz w:val="20"/>
              </w:rPr>
              <w:t>Route</w:t>
            </w:r>
          </w:p>
        </w:tc>
      </w:tr>
      <w:tr>
        <w:trPr>
          <w:cantSplit/>
        </w:trPr>
        <w:tc>
          <w:tcPr>
            <w:tcW w:type="dxa" w:w="3600"/>
            <w:shd w:val="clear" w:fill="FFFFFF"/>
          </w:tcPr>
          <w:p>
            <w:pPr>
              <w:spacing w:after="20" w:before="20"/>
            </w:pPr>
            <w:r/>
            <w:r>
              <w:rPr>
                <w:rFonts w:ascii="Calibri" w:hAnsi="Calibri"/>
                <w:b/>
                <w:color w:val="333333"/>
                <w:sz w:val="19"/>
              </w:rPr>
              <w:t>Analyse a whole layer</w:t>
            </w:r>
          </w:p>
        </w:tc>
        <w:tc>
          <w:tcPr>
            <w:tcW w:type="dxa" w:w="6336"/>
            <w:shd w:val="clear" w:fill="FFFFFF"/>
          </w:tcPr>
          <w:p>
            <w:pPr>
              <w:spacing w:after="20" w:before="20"/>
            </w:pPr>
            <w:r/>
            <w:r>
              <w:rPr>
                <w:rFonts w:ascii="Calibri" w:hAnsi="Calibri"/>
                <w:b w:val="0"/>
                <w:color w:val="333333"/>
                <w:sz w:val="19"/>
              </w:rPr>
              <w:t>Toolbar → 🧮 Analyse → Apply to: Whole layer</w:t>
            </w:r>
          </w:p>
        </w:tc>
      </w:tr>
      <w:tr>
        <w:trPr>
          <w:cantSplit/>
        </w:trPr>
        <w:tc>
          <w:tcPr>
            <w:tcW w:type="dxa" w:w="3600"/>
            <w:shd w:val="clear" w:fill="F0F0F8"/>
          </w:tcPr>
          <w:p>
            <w:pPr>
              <w:spacing w:after="20" w:before="20"/>
            </w:pPr>
            <w:r/>
            <w:r>
              <w:rPr>
                <w:rFonts w:ascii="Calibri" w:hAnsi="Calibri"/>
                <w:b/>
                <w:color w:val="333333"/>
                <w:sz w:val="19"/>
              </w:rPr>
              <w:t>Analyse one area</w:t>
            </w:r>
          </w:p>
        </w:tc>
        <w:tc>
          <w:tcPr>
            <w:tcW w:type="dxa" w:w="6336"/>
            <w:shd w:val="clear" w:fill="F0F0F8"/>
          </w:tcPr>
          <w:p>
            <w:pPr>
              <w:spacing w:after="20" w:before="20"/>
            </w:pPr>
            <w:r/>
            <w:r>
              <w:rPr>
                <w:rFonts w:ascii="Calibri" w:hAnsi="Calibri"/>
                <w:b w:val="0"/>
                <w:color w:val="333333"/>
                <w:sz w:val="19"/>
              </w:rPr>
              <w:t>Draw Circle or Area → Analyse in the pop-up</w:t>
            </w:r>
          </w:p>
        </w:tc>
      </w:tr>
      <w:tr>
        <w:trPr>
          <w:cantSplit/>
        </w:trPr>
        <w:tc>
          <w:tcPr>
            <w:tcW w:type="dxa" w:w="3600"/>
            <w:shd w:val="clear" w:fill="FFFFFF"/>
          </w:tcPr>
          <w:p>
            <w:pPr>
              <w:spacing w:after="20" w:before="20"/>
            </w:pPr>
            <w:r/>
            <w:r>
              <w:rPr>
                <w:rFonts w:ascii="Calibri" w:hAnsi="Calibri"/>
                <w:b/>
                <w:color w:val="333333"/>
                <w:sz w:val="19"/>
              </w:rPr>
              <w:t>Analyse a few parcels</w:t>
            </w:r>
          </w:p>
        </w:tc>
        <w:tc>
          <w:tcPr>
            <w:tcW w:type="dxa" w:w="6336"/>
            <w:shd w:val="clear" w:fill="FFFFFF"/>
          </w:tcPr>
          <w:p>
            <w:pPr>
              <w:spacing w:after="20" w:before="20"/>
            </w:pPr>
            <w:r/>
            <w:r>
              <w:rPr>
                <w:rFonts w:ascii="Calibri" w:hAnsi="Calibri"/>
                <w:b w:val="0"/>
                <w:color w:val="333333"/>
                <w:sz w:val="19"/>
              </w:rPr>
              <w:t>Digitise → Shift-click or Ctrl/Cmd-drag → Analyse → Apply to: Selected features</w:t>
            </w:r>
          </w:p>
        </w:tc>
      </w:tr>
      <w:tr>
        <w:trPr>
          <w:cantSplit/>
        </w:trPr>
        <w:tc>
          <w:tcPr>
            <w:tcW w:type="dxa" w:w="3600"/>
            <w:shd w:val="clear" w:fill="F0F0F8"/>
          </w:tcPr>
          <w:p>
            <w:pPr>
              <w:spacing w:after="20" w:before="20"/>
            </w:pPr>
            <w:r/>
            <w:r>
              <w:rPr>
                <w:rFonts w:ascii="Calibri" w:hAnsi="Calibri"/>
                <w:b/>
                <w:color w:val="333333"/>
                <w:sz w:val="19"/>
              </w:rPr>
              <w:t>Parcels inside a zone</w:t>
            </w:r>
          </w:p>
        </w:tc>
        <w:tc>
          <w:tcPr>
            <w:tcW w:type="dxa" w:w="6336"/>
            <w:shd w:val="clear" w:fill="F0F0F8"/>
          </w:tcPr>
          <w:p>
            <w:pPr>
              <w:spacing w:after="20" w:before="20"/>
            </w:pPr>
            <w:r/>
            <w:r>
              <w:rPr>
                <w:rFonts w:ascii="Calibri" w:hAnsi="Calibri"/>
                <w:b w:val="0"/>
                <w:color w:val="333333"/>
                <w:sz w:val="19"/>
              </w:rPr>
              <w:t>Overlay → Intersect (A = Parcels, B = Zones)</w:t>
            </w:r>
          </w:p>
        </w:tc>
      </w:tr>
      <w:tr>
        <w:trPr>
          <w:cantSplit/>
        </w:trPr>
        <w:tc>
          <w:tcPr>
            <w:tcW w:type="dxa" w:w="3600"/>
            <w:shd w:val="clear" w:fill="FFFFFF"/>
          </w:tcPr>
          <w:p>
            <w:pPr>
              <w:spacing w:after="20" w:before="20"/>
            </w:pPr>
            <w:r/>
            <w:r>
              <w:rPr>
                <w:rFonts w:ascii="Calibri" w:hAnsi="Calibri"/>
                <w:b/>
                <w:color w:val="333333"/>
                <w:sz w:val="19"/>
              </w:rPr>
              <w:t>Cut a layer to a boundary</w:t>
            </w:r>
          </w:p>
        </w:tc>
        <w:tc>
          <w:tcPr>
            <w:tcW w:type="dxa" w:w="6336"/>
            <w:shd w:val="clear" w:fill="FFFFFF"/>
          </w:tcPr>
          <w:p>
            <w:pPr>
              <w:spacing w:after="20" w:before="20"/>
            </w:pPr>
            <w:r/>
            <w:r>
              <w:rPr>
                <w:rFonts w:ascii="Calibri" w:hAnsi="Calibri"/>
                <w:b w:val="0"/>
                <w:color w:val="333333"/>
                <w:sz w:val="19"/>
              </w:rPr>
              <w:t>Overlay → Clip</w:t>
            </w:r>
          </w:p>
        </w:tc>
      </w:tr>
      <w:tr>
        <w:trPr>
          <w:cantSplit/>
        </w:trPr>
        <w:tc>
          <w:tcPr>
            <w:tcW w:type="dxa" w:w="3600"/>
            <w:shd w:val="clear" w:fill="F0F0F8"/>
          </w:tcPr>
          <w:p>
            <w:pPr>
              <w:spacing w:after="20" w:before="20"/>
            </w:pPr>
            <w:r/>
            <w:r>
              <w:rPr>
                <w:rFonts w:ascii="Calibri" w:hAnsi="Calibri"/>
                <w:b/>
                <w:color w:val="333333"/>
                <w:sz w:val="19"/>
              </w:rPr>
              <w:t>Everything outside an area</w:t>
            </w:r>
          </w:p>
        </w:tc>
        <w:tc>
          <w:tcPr>
            <w:tcW w:type="dxa" w:w="6336"/>
            <w:shd w:val="clear" w:fill="F0F0F8"/>
          </w:tcPr>
          <w:p>
            <w:pPr>
              <w:spacing w:after="20" w:before="20"/>
            </w:pPr>
            <w:r/>
            <w:r>
              <w:rPr>
                <w:rFonts w:ascii="Calibri" w:hAnsi="Calibri"/>
                <w:b w:val="0"/>
                <w:color w:val="333333"/>
                <w:sz w:val="19"/>
              </w:rPr>
              <w:t>Overlay → Difference</w:t>
            </w:r>
          </w:p>
        </w:tc>
      </w:tr>
      <w:tr>
        <w:trPr>
          <w:cantSplit/>
        </w:trPr>
        <w:tc>
          <w:tcPr>
            <w:tcW w:type="dxa" w:w="3600"/>
            <w:shd w:val="clear" w:fill="FFFFFF"/>
          </w:tcPr>
          <w:p>
            <w:pPr>
              <w:spacing w:after="20" w:before="20"/>
            </w:pPr>
            <w:r/>
            <w:r>
              <w:rPr>
                <w:rFonts w:ascii="Calibri" w:hAnsi="Calibri"/>
                <w:b/>
                <w:color w:val="333333"/>
                <w:sz w:val="19"/>
              </w:rPr>
              <w:t>Merge shapes into one outline</w:t>
            </w:r>
          </w:p>
        </w:tc>
        <w:tc>
          <w:tcPr>
            <w:tcW w:type="dxa" w:w="6336"/>
            <w:shd w:val="clear" w:fill="FFFFFF"/>
          </w:tcPr>
          <w:p>
            <w:pPr>
              <w:spacing w:after="20" w:before="20"/>
            </w:pPr>
            <w:r/>
            <w:r>
              <w:rPr>
                <w:rFonts w:ascii="Calibri" w:hAnsi="Calibri"/>
                <w:b w:val="0"/>
                <w:color w:val="333333"/>
                <w:sz w:val="19"/>
              </w:rPr>
              <w:t>Overlay → Union / Dissolve</w:t>
            </w:r>
          </w:p>
        </w:tc>
      </w:tr>
      <w:tr>
        <w:trPr>
          <w:cantSplit/>
        </w:trPr>
        <w:tc>
          <w:tcPr>
            <w:tcW w:type="dxa" w:w="3600"/>
            <w:shd w:val="clear" w:fill="F0F0F8"/>
          </w:tcPr>
          <w:p>
            <w:pPr>
              <w:spacing w:after="20" w:before="20"/>
            </w:pPr>
            <w:r/>
            <w:r>
              <w:rPr>
                <w:rFonts w:ascii="Calibri" w:hAnsi="Calibri"/>
                <w:b/>
                <w:color w:val="333333"/>
                <w:sz w:val="19"/>
              </w:rPr>
              <w:t>Count per zone</w:t>
            </w:r>
          </w:p>
        </w:tc>
        <w:tc>
          <w:tcPr>
            <w:tcW w:type="dxa" w:w="6336"/>
            <w:shd w:val="clear" w:fill="F0F0F8"/>
          </w:tcPr>
          <w:p>
            <w:pPr>
              <w:spacing w:after="20" w:before="20"/>
            </w:pPr>
            <w:r/>
            <w:r>
              <w:rPr>
                <w:rFonts w:ascii="Calibri" w:hAnsi="Calibri"/>
                <w:b w:val="0"/>
                <w:color w:val="333333"/>
                <w:sz w:val="19"/>
              </w:rPr>
              <w:t>Zonal statistics → Count</w:t>
            </w:r>
          </w:p>
        </w:tc>
      </w:tr>
      <w:tr>
        <w:trPr>
          <w:cantSplit/>
        </w:trPr>
        <w:tc>
          <w:tcPr>
            <w:tcW w:type="dxa" w:w="3600"/>
            <w:shd w:val="clear" w:fill="FFFFFF"/>
          </w:tcPr>
          <w:p>
            <w:pPr>
              <w:spacing w:after="20" w:before="20"/>
            </w:pPr>
            <w:r/>
            <w:r>
              <w:rPr>
                <w:rFonts w:ascii="Calibri" w:hAnsi="Calibri"/>
                <w:b/>
                <w:color w:val="333333"/>
                <w:sz w:val="19"/>
              </w:rPr>
              <w:t>Average plot size per zone</w:t>
            </w:r>
          </w:p>
        </w:tc>
        <w:tc>
          <w:tcPr>
            <w:tcW w:type="dxa" w:w="6336"/>
            <w:shd w:val="clear" w:fill="FFFFFF"/>
          </w:tcPr>
          <w:p>
            <w:pPr>
              <w:spacing w:after="20" w:before="20"/>
            </w:pPr>
            <w:r/>
            <w:r>
              <w:rPr>
                <w:rFonts w:ascii="Calibri" w:hAnsi="Calibri"/>
                <w:b w:val="0"/>
                <w:color w:val="333333"/>
                <w:sz w:val="19"/>
              </w:rPr>
              <w:t>Zonal statistics → Mean + numeric field</w:t>
            </w:r>
          </w:p>
        </w:tc>
      </w:tr>
      <w:tr>
        <w:trPr>
          <w:cantSplit/>
        </w:trPr>
        <w:tc>
          <w:tcPr>
            <w:tcW w:type="dxa" w:w="3600"/>
            <w:shd w:val="clear" w:fill="F0F0F8"/>
          </w:tcPr>
          <w:p>
            <w:pPr>
              <w:spacing w:after="20" w:before="20"/>
            </w:pPr>
            <w:r/>
            <w:r>
              <w:rPr>
                <w:rFonts w:ascii="Calibri" w:hAnsi="Calibri"/>
                <w:b/>
                <w:color w:val="333333"/>
                <w:sz w:val="19"/>
              </w:rPr>
              <w:t>Export the zonal table</w:t>
            </w:r>
          </w:p>
        </w:tc>
        <w:tc>
          <w:tcPr>
            <w:tcW w:type="dxa" w:w="6336"/>
            <w:shd w:val="clear" w:fill="F0F0F8"/>
          </w:tcPr>
          <w:p>
            <w:pPr>
              <w:spacing w:after="20" w:before="20"/>
            </w:pPr>
            <w:r/>
            <w:r>
              <w:rPr>
                <w:rFonts w:ascii="Calibri" w:hAnsi="Calibri"/>
                <w:b w:val="0"/>
                <w:color w:val="333333"/>
                <w:sz w:val="19"/>
              </w:rPr>
              <w:t>Run the analysis → Export table (Excel)</w:t>
            </w:r>
          </w:p>
        </w:tc>
      </w:tr>
      <w:tr>
        <w:trPr>
          <w:cantSplit/>
        </w:trPr>
        <w:tc>
          <w:tcPr>
            <w:tcW w:type="dxa" w:w="3600"/>
            <w:shd w:val="clear" w:fill="FFFFFF"/>
          </w:tcPr>
          <w:p>
            <w:pPr>
              <w:spacing w:after="20" w:before="20"/>
            </w:pPr>
            <w:r/>
            <w:r>
              <w:rPr>
                <w:rFonts w:ascii="Calibri" w:hAnsi="Calibri"/>
                <w:b/>
                <w:color w:val="333333"/>
                <w:sz w:val="19"/>
              </w:rPr>
              <w:t>Find the results</w:t>
            </w:r>
          </w:p>
        </w:tc>
        <w:tc>
          <w:tcPr>
            <w:tcW w:type="dxa" w:w="6336"/>
            <w:shd w:val="clear" w:fill="FFFFFF"/>
          </w:tcPr>
          <w:p>
            <w:pPr>
              <w:spacing w:after="20" w:before="20"/>
            </w:pPr>
            <w:r/>
            <w:r>
              <w:rPr>
                <w:rFonts w:ascii="Calibri" w:hAnsi="Calibri"/>
                <w:b w:val="0"/>
                <w:color w:val="333333"/>
                <w:sz w:val="19"/>
              </w:rPr>
              <w:t>Layer Switcher → Analysis group</w:t>
            </w:r>
          </w:p>
        </w:tc>
      </w:tr>
      <w:tr>
        <w:trPr>
          <w:cantSplit/>
        </w:trPr>
        <w:tc>
          <w:tcPr>
            <w:tcW w:type="dxa" w:w="3600"/>
            <w:shd w:val="clear" w:fill="F0F0F8"/>
          </w:tcPr>
          <w:p>
            <w:pPr>
              <w:spacing w:after="20" w:before="20"/>
            </w:pPr>
            <w:r/>
            <w:r>
              <w:rPr>
                <w:rFonts w:ascii="Calibri" w:hAnsi="Calibri"/>
                <w:b/>
                <w:color w:val="333333"/>
                <w:sz w:val="19"/>
              </w:rPr>
              <w:t>Export the results</w:t>
            </w:r>
          </w:p>
        </w:tc>
        <w:tc>
          <w:tcPr>
            <w:tcW w:type="dxa" w:w="6336"/>
            <w:shd w:val="clear" w:fill="F0F0F8"/>
          </w:tcPr>
          <w:p>
            <w:pPr>
              <w:spacing w:after="20" w:before="20"/>
            </w:pPr>
            <w:r/>
            <w:r>
              <w:rPr>
                <w:rFonts w:ascii="Calibri" w:hAnsi="Calibri"/>
                <w:b w:val="0"/>
                <w:color w:val="333333"/>
                <w:sz w:val="19"/>
              </w:rPr>
              <w:t>Open the layer's export option → GeoJSON / Shapefile / KML</w:t>
            </w:r>
          </w:p>
        </w:tc>
      </w:tr>
    </w:tbl>
    <w:p>
      <w:pPr>
        <w:spacing w:after="80"/>
      </w:pPr>
    </w:p>
    <w:sectPr w:rsidR="0032655B">
      <w:headerReference w:type="default" r:id="rId13"/>
      <w:footerReference w:type="default" r:id="rId1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F189B0" w14:textId="77777777" w:rsidR="00AE2CBB" w:rsidRDefault="00AE2CBB">
      <w:r>
        <w:separator/>
      </w:r>
    </w:p>
  </w:endnote>
  <w:endnote w:type="continuationSeparator" w:id="0">
    <w:p w14:paraId="2F99AFCD" w14:textId="77777777" w:rsidR="00AE2CBB" w:rsidRDefault="00AE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CC"/>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000000000"/>
    <w:charset w:val="4D"/>
    <w:family w:val="swiss"/>
    <w:notTrueType/>
    <w:pitch w:val="variable"/>
    <w:sig w:usb0="A000006F" w:usb1="5000207B" w:usb2="00000000" w:usb3="00000000" w:csb0="000001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7F55E0" w14:textId="77777777" w:rsidR="007225A5" w:rsidRDefault="00FF00D1">
    <w:pPr>
      <w:pBdr>
        <w:top w:val="single" w:sz="1" w:space="4" w:color="CCCCCC"/>
      </w:pBdr>
      <w:jc w:val="center"/>
    </w:pPr>
    <w:proofErr w:type="gramStart"/>
    <w:r>
      <w:rPr>
        <w:color w:val="999999"/>
        <w:sz w:val="16"/>
        <w:szCs w:val="16"/>
      </w:rPr>
      <w:t>GOPA</w:t>
    </w:r>
    <w:r w:rsidR="002B6AA5">
      <w:rPr>
        <w:color w:val="999999"/>
        <w:sz w:val="16"/>
        <w:szCs w:val="16"/>
      </w:rPr>
      <w:t xml:space="preserve">  |</w:t>
    </w:r>
    <w:proofErr w:type="gramEnd"/>
    <w:r w:rsidR="002B6AA5">
      <w:rPr>
        <w:color w:val="999999"/>
        <w:sz w:val="16"/>
        <w:szCs w:val="16"/>
      </w:rPr>
      <w:t xml:space="preserve">  LUPMIS2 Analyse Guide </w:t>
    </w:r>
    <w:proofErr w:type="gramStart"/>
    <w:r w:rsidR="002B6AA5">
      <w:rPr>
        <w:color w:val="999999"/>
        <w:sz w:val="16"/>
        <w:szCs w:val="16"/>
      </w:rPr>
      <w:t>Report  |</w:t>
    </w:r>
    <w:proofErr w:type="gramEnd"/>
    <w:r w:rsidR="002B6AA5">
      <w:rPr>
        <w:color w:val="999999"/>
        <w:sz w:val="16"/>
        <w:szCs w:val="16"/>
      </w:rPr>
      <w:t xml:space="preserve">  Page </w:t>
    </w:r>
    <w:r w:rsidR="002B6AA5">
      <w:rPr>
        <w:color w:val="999999"/>
        <w:sz w:val="16"/>
        <w:szCs w:val="16"/>
      </w:rPr>
      <w:fldChar w:fldCharType="begin"/>
    </w:r>
    <w:r w:rsidR="002B6AA5">
      <w:rPr>
        <w:color w:val="999999"/>
        <w:sz w:val="16"/>
        <w:szCs w:val="16"/>
      </w:rPr>
      <w:instrText>PAGE</w:instrText>
    </w:r>
    <w:r w:rsidR="002B6AA5">
      <w:rPr>
        <w:color w:val="999999"/>
        <w:sz w:val="16"/>
        <w:szCs w:val="16"/>
      </w:rPr>
      <w:fldChar w:fldCharType="separate"/>
    </w:r>
    <w:r w:rsidR="00E124F3">
      <w:rPr>
        <w:noProof/>
        <w:color w:val="999999"/>
        <w:sz w:val="16"/>
        <w:szCs w:val="16"/>
      </w:rPr>
      <w:t>2</w:t>
    </w:r>
    <w:r w:rsidR="002B6AA5">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858AA1" w14:textId="77777777" w:rsidR="00AE2CBB" w:rsidRDefault="00AE2CBB">
      <w:r>
        <w:separator/>
      </w:r>
    </w:p>
  </w:footnote>
  <w:footnote w:type="continuationSeparator" w:id="0">
    <w:p w14:paraId="2D2B7F7F" w14:textId="77777777" w:rsidR="00AE2CBB" w:rsidRDefault="00AE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9BCA0B" w14:textId="77777777" w:rsidR="00FF00D1" w:rsidRDefault="00FF00D1" w:rsidP="00FF00D1">
    <w:pPr>
      <w:pStyle w:val="Kopfzeile"/>
    </w:pPr>
    <w:r>
      <w:rPr>
        <w:rFonts w:ascii="IBM Plex Sans" w:hAnsi="IBM Plex Sans"/>
        <w:noProof/>
      </w:rPr>
      <w:drawing>
        <wp:anchor distT="0" distB="0" distL="114300" distR="114300" simplePos="0" relativeHeight="251659264" behindDoc="0" locked="0" layoutInCell="1" allowOverlap="1" wp14:anchorId="50EF76EE" wp14:editId="0DB2641A">
          <wp:simplePos x="0" y="0"/>
          <wp:positionH relativeFrom="column">
            <wp:posOffset>-82955</wp:posOffset>
          </wp:positionH>
          <wp:positionV relativeFrom="paragraph">
            <wp:posOffset>182534</wp:posOffset>
          </wp:positionV>
          <wp:extent cx="1247775" cy="554355"/>
          <wp:effectExtent l="0" t="0" r="0" b="4445"/>
          <wp:wrapNone/>
          <wp:docPr id="192104447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44471" name="Grafik 1921044471"/>
                  <pic:cNvPicPr/>
                </pic:nvPicPr>
                <pic:blipFill>
                  <a:blip r:embed="rId1">
                    <a:extLst>
                      <a:ext uri="{28A0092B-C50C-407E-A947-70E740481C1C}">
                        <a14:useLocalDpi xmlns:a14="http://schemas.microsoft.com/office/drawing/2010/main" val="0"/>
                      </a:ext>
                    </a:extLst>
                  </a:blip>
                  <a:stretch>
                    <a:fillRect/>
                  </a:stretch>
                </pic:blipFill>
                <pic:spPr>
                  <a:xfrm>
                    <a:off x="0" y="0"/>
                    <a:ext cx="1247775" cy="554355"/>
                  </a:xfrm>
                  <a:prstGeom prst="rect">
                    <a:avLst/>
                  </a:prstGeom>
                </pic:spPr>
              </pic:pic>
            </a:graphicData>
          </a:graphic>
          <wp14:sizeRelH relativeFrom="margin">
            <wp14:pctWidth>0</wp14:pctWidth>
          </wp14:sizeRelH>
          <wp14:sizeRelV relativeFrom="margin">
            <wp14:pctHeight>0</wp14:pctHeight>
          </wp14:sizeRelV>
        </wp:anchor>
      </w:drawing>
    </w:r>
  </w:p>
  <w:tbl>
    <w:tblPr>
      <w:tblW w:w="7087" w:type="dxa"/>
      <w:tblInd w:w="19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11"/>
      <w:gridCol w:w="2976"/>
    </w:tblGrid>
    <w:tr w:rsidR="00FF00D1" w14:paraId="2A20D306" w14:textId="77777777" w:rsidTr="009A2347">
      <w:tc>
        <w:tcPr>
          <w:tcW w:w="4111" w:type="dxa"/>
        </w:tcPr>
        <w:p w14:paraId="69A2E7D4" w14:textId="77777777" w:rsidR="00FF00D1" w:rsidRDefault="00FF00D1" w:rsidP="00FF00D1">
          <w:r>
            <w:fldChar w:fldCharType="begin"/>
          </w:r>
          <w:r>
            <w:instrText xml:space="preserve"> SUBJECT  \* MERGEFORMAT </w:instrText>
          </w:r>
          <w:r>
            <w:fldChar w:fldCharType="end"/>
          </w:r>
        </w:p>
      </w:tc>
      <w:tc>
        <w:tcPr>
          <w:tcW w:w="2976" w:type="dxa"/>
        </w:tcPr>
        <w:p w14:paraId="29A49625" w14:textId="77777777" w:rsidR="00FF00D1" w:rsidRDefault="00FF00D1" w:rsidP="00FF00D1">
          <w:pPr>
            <w:tabs>
              <w:tab w:val="left" w:pos="1135"/>
            </w:tabs>
            <w:spacing w:before="40"/>
            <w:ind w:right="68"/>
          </w:pPr>
          <w:r>
            <w:t xml:space="preserve">  Version:           &lt;1.0&gt;</w:t>
          </w:r>
        </w:p>
      </w:tc>
    </w:tr>
    <w:tr w:rsidR="00FF00D1" w14:paraId="6F494568" w14:textId="77777777" w:rsidTr="009A2347">
      <w:tc>
        <w:tcPr>
          <w:tcW w:w="4111" w:type="dxa"/>
        </w:tcPr>
        <w:p w14:paraId="484C4EE4" w14:textId="77777777" w:rsidR="00FF00D1" w:rsidRPr="00FF00D1" w:rsidRDefault="00FF00D1" w:rsidP="00FF00D1">
          <w:pPr>
            <w:rPr>
              <w:sz w:val="20"/>
              <w:szCs w:val="20"/>
            </w:rPr>
          </w:pPr>
          <w:r w:rsidRPr="00FF00D1">
            <w:rPr>
              <w:i/>
              <w:iCs/>
              <w:color w:val="999999"/>
              <w:sz w:val="20"/>
              <w:szCs w:val="20"/>
            </w:rPr>
            <w:t>LUPMIS2 Spatial Analysis — User Guide</w:t>
          </w:r>
        </w:p>
        <w:p w14:paraId="327B6622" w14:textId="77777777" w:rsidR="00FF00D1" w:rsidRDefault="00FF00D1" w:rsidP="00FF00D1"/>
      </w:tc>
      <w:tc>
        <w:tcPr>
          <w:tcW w:w="2976" w:type="dxa"/>
        </w:tcPr>
        <w:p w14:paraId="4309F002" w14:textId="77777777" w:rsidR="00FF00D1" w:rsidRDefault="00FF00D1" w:rsidP="00FF00D1"/>
      </w:tc>
    </w:tr>
  </w:tbl>
  <w:p w14:paraId="68F887F6" w14:textId="77777777" w:rsidR="007225A5" w:rsidRDefault="007225A5" w:rsidP="00FF00D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D14E62"/>
    <w:multiLevelType w:val="hybridMultilevel"/>
    <w:tmpl w:val="75CE0176"/>
    <w:lvl w:ilvl="0" w:tplc="8F1A652A">
      <w:start w:val="1"/>
      <w:numFmt w:val="bullet"/>
      <w:lvlText w:val="•"/>
      <w:lvlJc w:val="left"/>
      <w:pPr>
        <w:ind w:left="720" w:hanging="360"/>
      </w:pPr>
    </w:lvl>
    <w:lvl w:ilvl="1" w:tplc="8B8ACFE2">
      <w:numFmt w:val="decimal"/>
      <w:lvlText w:val=""/>
      <w:lvlJc w:val="left"/>
    </w:lvl>
    <w:lvl w:ilvl="2" w:tplc="D1D6877E">
      <w:numFmt w:val="decimal"/>
      <w:lvlText w:val=""/>
      <w:lvlJc w:val="left"/>
    </w:lvl>
    <w:lvl w:ilvl="3" w:tplc="5044C660">
      <w:numFmt w:val="decimal"/>
      <w:lvlText w:val=""/>
      <w:lvlJc w:val="left"/>
    </w:lvl>
    <w:lvl w:ilvl="4" w:tplc="E058533C">
      <w:numFmt w:val="decimal"/>
      <w:lvlText w:val=""/>
      <w:lvlJc w:val="left"/>
    </w:lvl>
    <w:lvl w:ilvl="5" w:tplc="A014B8E6">
      <w:numFmt w:val="decimal"/>
      <w:lvlText w:val=""/>
      <w:lvlJc w:val="left"/>
    </w:lvl>
    <w:lvl w:ilvl="6" w:tplc="F3C2F5A8">
      <w:numFmt w:val="decimal"/>
      <w:lvlText w:val=""/>
      <w:lvlJc w:val="left"/>
    </w:lvl>
    <w:lvl w:ilvl="7" w:tplc="CCCEA62E">
      <w:numFmt w:val="decimal"/>
      <w:lvlText w:val=""/>
      <w:lvlJc w:val="left"/>
    </w:lvl>
    <w:lvl w:ilvl="8" w:tplc="CFA44C4E">
      <w:numFmt w:val="decimal"/>
      <w:lvlText w:val=""/>
      <w:lvlJc w:val="left"/>
    </w:lvl>
  </w:abstractNum>
  <w:abstractNum w:abstractNumId="1" w15:restartNumberingAfterBreak="0">
    <w:nsid w:val="2E622A17"/>
    <w:multiLevelType w:val="hybridMultilevel"/>
    <w:tmpl w:val="CFB85480"/>
    <w:lvl w:ilvl="0" w:tplc="101E9D50">
      <w:start w:val="1"/>
      <w:numFmt w:val="bullet"/>
      <w:lvlText w:val="•"/>
      <w:lvlJc w:val="left"/>
      <w:pPr>
        <w:ind w:left="720" w:hanging="360"/>
      </w:pPr>
    </w:lvl>
    <w:lvl w:ilvl="1" w:tplc="A43AEC48">
      <w:numFmt w:val="decimal"/>
      <w:lvlText w:val=""/>
      <w:lvlJc w:val="left"/>
    </w:lvl>
    <w:lvl w:ilvl="2" w:tplc="040C8C88">
      <w:numFmt w:val="decimal"/>
      <w:lvlText w:val=""/>
      <w:lvlJc w:val="left"/>
    </w:lvl>
    <w:lvl w:ilvl="3" w:tplc="B270097C">
      <w:numFmt w:val="decimal"/>
      <w:lvlText w:val=""/>
      <w:lvlJc w:val="left"/>
    </w:lvl>
    <w:lvl w:ilvl="4" w:tplc="241CC0E8">
      <w:numFmt w:val="decimal"/>
      <w:lvlText w:val=""/>
      <w:lvlJc w:val="left"/>
    </w:lvl>
    <w:lvl w:ilvl="5" w:tplc="39061F8A">
      <w:numFmt w:val="decimal"/>
      <w:lvlText w:val=""/>
      <w:lvlJc w:val="left"/>
    </w:lvl>
    <w:lvl w:ilvl="6" w:tplc="5E568876">
      <w:numFmt w:val="decimal"/>
      <w:lvlText w:val=""/>
      <w:lvlJc w:val="left"/>
    </w:lvl>
    <w:lvl w:ilvl="7" w:tplc="C1CE8022">
      <w:numFmt w:val="decimal"/>
      <w:lvlText w:val=""/>
      <w:lvlJc w:val="left"/>
    </w:lvl>
    <w:lvl w:ilvl="8" w:tplc="358A7FE4">
      <w:numFmt w:val="decimal"/>
      <w:lvlText w:val=""/>
      <w:lvlJc w:val="left"/>
    </w:lvl>
  </w:abstractNum>
  <w:abstractNum w:abstractNumId="2" w15:restartNumberingAfterBreak="0">
    <w:nsid w:val="453F4DBC"/>
    <w:multiLevelType w:val="hybridMultilevel"/>
    <w:tmpl w:val="C7ACC4D4"/>
    <w:lvl w:ilvl="0" w:tplc="A26A4618">
      <w:start w:val="1"/>
      <w:numFmt w:val="bullet"/>
      <w:lvlText w:val="•"/>
      <w:lvlJc w:val="left"/>
      <w:pPr>
        <w:ind w:left="720" w:hanging="360"/>
      </w:pPr>
    </w:lvl>
    <w:lvl w:ilvl="1" w:tplc="6C741206">
      <w:numFmt w:val="decimal"/>
      <w:lvlText w:val=""/>
      <w:lvlJc w:val="left"/>
    </w:lvl>
    <w:lvl w:ilvl="2" w:tplc="DC5416AC">
      <w:numFmt w:val="decimal"/>
      <w:lvlText w:val=""/>
      <w:lvlJc w:val="left"/>
    </w:lvl>
    <w:lvl w:ilvl="3" w:tplc="2F3EDA46">
      <w:numFmt w:val="decimal"/>
      <w:lvlText w:val=""/>
      <w:lvlJc w:val="left"/>
    </w:lvl>
    <w:lvl w:ilvl="4" w:tplc="373E9FFC">
      <w:numFmt w:val="decimal"/>
      <w:lvlText w:val=""/>
      <w:lvlJc w:val="left"/>
    </w:lvl>
    <w:lvl w:ilvl="5" w:tplc="382C506C">
      <w:numFmt w:val="decimal"/>
      <w:lvlText w:val=""/>
      <w:lvlJc w:val="left"/>
    </w:lvl>
    <w:lvl w:ilvl="6" w:tplc="C7B0219C">
      <w:numFmt w:val="decimal"/>
      <w:lvlText w:val=""/>
      <w:lvlJc w:val="left"/>
    </w:lvl>
    <w:lvl w:ilvl="7" w:tplc="AC384D0A">
      <w:numFmt w:val="decimal"/>
      <w:lvlText w:val=""/>
      <w:lvlJc w:val="left"/>
    </w:lvl>
    <w:lvl w:ilvl="8" w:tplc="CB24CAD4">
      <w:numFmt w:val="decimal"/>
      <w:lvlText w:val=""/>
      <w:lvlJc w:val="left"/>
    </w:lvl>
  </w:abstractNum>
  <w:abstractNum w:abstractNumId="3" w15:restartNumberingAfterBreak="0">
    <w:nsid w:val="64C77784"/>
    <w:multiLevelType w:val="hybridMultilevel"/>
    <w:tmpl w:val="BBC28EB8"/>
    <w:lvl w:ilvl="0" w:tplc="C2D60420">
      <w:start w:val="1"/>
      <w:numFmt w:val="bullet"/>
      <w:lvlText w:val="●"/>
      <w:lvlJc w:val="left"/>
      <w:pPr>
        <w:ind w:left="720" w:hanging="360"/>
      </w:pPr>
    </w:lvl>
    <w:lvl w:ilvl="1" w:tplc="95FEDDB8">
      <w:start w:val="1"/>
      <w:numFmt w:val="bullet"/>
      <w:lvlText w:val="○"/>
      <w:lvlJc w:val="left"/>
      <w:pPr>
        <w:ind w:left="1440" w:hanging="360"/>
      </w:pPr>
    </w:lvl>
    <w:lvl w:ilvl="2" w:tplc="6F268602">
      <w:start w:val="1"/>
      <w:numFmt w:val="bullet"/>
      <w:lvlText w:val="■"/>
      <w:lvlJc w:val="left"/>
      <w:pPr>
        <w:ind w:left="2160" w:hanging="360"/>
      </w:pPr>
    </w:lvl>
    <w:lvl w:ilvl="3" w:tplc="6E2AB020">
      <w:start w:val="1"/>
      <w:numFmt w:val="bullet"/>
      <w:lvlText w:val="●"/>
      <w:lvlJc w:val="left"/>
      <w:pPr>
        <w:ind w:left="2880" w:hanging="360"/>
      </w:pPr>
    </w:lvl>
    <w:lvl w:ilvl="4" w:tplc="71F66538">
      <w:start w:val="1"/>
      <w:numFmt w:val="bullet"/>
      <w:lvlText w:val="○"/>
      <w:lvlJc w:val="left"/>
      <w:pPr>
        <w:ind w:left="3600" w:hanging="360"/>
      </w:pPr>
    </w:lvl>
    <w:lvl w:ilvl="5" w:tplc="6E48485E">
      <w:start w:val="1"/>
      <w:numFmt w:val="bullet"/>
      <w:lvlText w:val="■"/>
      <w:lvlJc w:val="left"/>
      <w:pPr>
        <w:ind w:left="4320" w:hanging="360"/>
      </w:pPr>
    </w:lvl>
    <w:lvl w:ilvl="6" w:tplc="CE96DC80">
      <w:start w:val="1"/>
      <w:numFmt w:val="bullet"/>
      <w:lvlText w:val="●"/>
      <w:lvlJc w:val="left"/>
      <w:pPr>
        <w:ind w:left="5040" w:hanging="360"/>
      </w:pPr>
    </w:lvl>
    <w:lvl w:ilvl="7" w:tplc="B9CECC7A">
      <w:start w:val="1"/>
      <w:numFmt w:val="bullet"/>
      <w:lvlText w:val="●"/>
      <w:lvlJc w:val="left"/>
      <w:pPr>
        <w:ind w:left="5760" w:hanging="360"/>
      </w:pPr>
    </w:lvl>
    <w:lvl w:ilvl="8" w:tplc="1134570A">
      <w:start w:val="1"/>
      <w:numFmt w:val="bullet"/>
      <w:lvlText w:val="●"/>
      <w:lvlJc w:val="left"/>
      <w:pPr>
        <w:ind w:left="6480" w:hanging="360"/>
      </w:pPr>
    </w:lvl>
  </w:abstractNum>
  <w:abstractNum w:abstractNumId="4" w15:restartNumberingAfterBreak="0">
    <w:nsid w:val="67D46B26"/>
    <w:multiLevelType w:val="hybridMultilevel"/>
    <w:tmpl w:val="A2CC07CC"/>
    <w:lvl w:ilvl="0" w:tplc="72CA0E8E">
      <w:start w:val="1"/>
      <w:numFmt w:val="bullet"/>
      <w:lvlText w:val="•"/>
      <w:lvlJc w:val="left"/>
      <w:pPr>
        <w:ind w:left="720" w:hanging="360"/>
      </w:pPr>
    </w:lvl>
    <w:lvl w:ilvl="1" w:tplc="C10215A8">
      <w:numFmt w:val="decimal"/>
      <w:lvlText w:val=""/>
      <w:lvlJc w:val="left"/>
    </w:lvl>
    <w:lvl w:ilvl="2" w:tplc="31469E24">
      <w:numFmt w:val="decimal"/>
      <w:lvlText w:val=""/>
      <w:lvlJc w:val="left"/>
    </w:lvl>
    <w:lvl w:ilvl="3" w:tplc="4F7EE41A">
      <w:numFmt w:val="decimal"/>
      <w:lvlText w:val=""/>
      <w:lvlJc w:val="left"/>
    </w:lvl>
    <w:lvl w:ilvl="4" w:tplc="52C25704">
      <w:numFmt w:val="decimal"/>
      <w:lvlText w:val=""/>
      <w:lvlJc w:val="left"/>
    </w:lvl>
    <w:lvl w:ilvl="5" w:tplc="B9DA91CE">
      <w:numFmt w:val="decimal"/>
      <w:lvlText w:val=""/>
      <w:lvlJc w:val="left"/>
    </w:lvl>
    <w:lvl w:ilvl="6" w:tplc="16DC6126">
      <w:numFmt w:val="decimal"/>
      <w:lvlText w:val=""/>
      <w:lvlJc w:val="left"/>
    </w:lvl>
    <w:lvl w:ilvl="7" w:tplc="5C6CFF0A">
      <w:numFmt w:val="decimal"/>
      <w:lvlText w:val=""/>
      <w:lvlJc w:val="left"/>
    </w:lvl>
    <w:lvl w:ilvl="8" w:tplc="BB762600">
      <w:numFmt w:val="decimal"/>
      <w:lvlText w:val=""/>
      <w:lvlJc w:val="left"/>
    </w:lvl>
  </w:abstractNum>
  <w:abstractNum w:abstractNumId="5" w15:restartNumberingAfterBreak="0">
    <w:nsid w:val="6E2C704A"/>
    <w:multiLevelType w:val="hybridMultilevel"/>
    <w:tmpl w:val="09904268"/>
    <w:lvl w:ilvl="0" w:tplc="08002240">
      <w:start w:val="1"/>
      <w:numFmt w:val="bullet"/>
      <w:lvlText w:val="•"/>
      <w:lvlJc w:val="left"/>
      <w:pPr>
        <w:ind w:left="720" w:hanging="360"/>
      </w:pPr>
    </w:lvl>
    <w:lvl w:ilvl="1" w:tplc="51405A52">
      <w:numFmt w:val="decimal"/>
      <w:lvlText w:val=""/>
      <w:lvlJc w:val="left"/>
    </w:lvl>
    <w:lvl w:ilvl="2" w:tplc="923A24CA">
      <w:numFmt w:val="decimal"/>
      <w:lvlText w:val=""/>
      <w:lvlJc w:val="left"/>
    </w:lvl>
    <w:lvl w:ilvl="3" w:tplc="CF08FE5E">
      <w:numFmt w:val="decimal"/>
      <w:lvlText w:val=""/>
      <w:lvlJc w:val="left"/>
    </w:lvl>
    <w:lvl w:ilvl="4" w:tplc="0792B0EA">
      <w:numFmt w:val="decimal"/>
      <w:lvlText w:val=""/>
      <w:lvlJc w:val="left"/>
    </w:lvl>
    <w:lvl w:ilvl="5" w:tplc="8E166892">
      <w:numFmt w:val="decimal"/>
      <w:lvlText w:val=""/>
      <w:lvlJc w:val="left"/>
    </w:lvl>
    <w:lvl w:ilvl="6" w:tplc="3904D9F4">
      <w:numFmt w:val="decimal"/>
      <w:lvlText w:val=""/>
      <w:lvlJc w:val="left"/>
    </w:lvl>
    <w:lvl w:ilvl="7" w:tplc="0C40744E">
      <w:numFmt w:val="decimal"/>
      <w:lvlText w:val=""/>
      <w:lvlJc w:val="left"/>
    </w:lvl>
    <w:lvl w:ilvl="8" w:tplc="69CE74E2">
      <w:numFmt w:val="decimal"/>
      <w:lvlText w:val=""/>
      <w:lvlJc w:val="left"/>
    </w:lvl>
  </w:abstractNum>
  <w:abstractNum w:abstractNumId="6" w15:restartNumberingAfterBreak="0">
    <w:nsid w:val="7BCB6157"/>
    <w:multiLevelType w:val="hybridMultilevel"/>
    <w:tmpl w:val="36025970"/>
    <w:lvl w:ilvl="0" w:tplc="7A4E9CE0">
      <w:start w:val="1"/>
      <w:numFmt w:val="bullet"/>
      <w:lvlText w:val="•"/>
      <w:lvlJc w:val="left"/>
      <w:pPr>
        <w:ind w:left="720" w:hanging="360"/>
      </w:pPr>
    </w:lvl>
    <w:lvl w:ilvl="1" w:tplc="E2709336">
      <w:numFmt w:val="decimal"/>
      <w:lvlText w:val=""/>
      <w:lvlJc w:val="left"/>
    </w:lvl>
    <w:lvl w:ilvl="2" w:tplc="2B6E6200">
      <w:numFmt w:val="decimal"/>
      <w:lvlText w:val=""/>
      <w:lvlJc w:val="left"/>
    </w:lvl>
    <w:lvl w:ilvl="3" w:tplc="F52644B4">
      <w:numFmt w:val="decimal"/>
      <w:lvlText w:val=""/>
      <w:lvlJc w:val="left"/>
    </w:lvl>
    <w:lvl w:ilvl="4" w:tplc="007E4902">
      <w:numFmt w:val="decimal"/>
      <w:lvlText w:val=""/>
      <w:lvlJc w:val="left"/>
    </w:lvl>
    <w:lvl w:ilvl="5" w:tplc="4A065B6C">
      <w:numFmt w:val="decimal"/>
      <w:lvlText w:val=""/>
      <w:lvlJc w:val="left"/>
    </w:lvl>
    <w:lvl w:ilvl="6" w:tplc="D1949016">
      <w:numFmt w:val="decimal"/>
      <w:lvlText w:val=""/>
      <w:lvlJc w:val="left"/>
    </w:lvl>
    <w:lvl w:ilvl="7" w:tplc="2D2068FE">
      <w:numFmt w:val="decimal"/>
      <w:lvlText w:val=""/>
      <w:lvlJc w:val="left"/>
    </w:lvl>
    <w:lvl w:ilvl="8" w:tplc="345027CE">
      <w:numFmt w:val="decimal"/>
      <w:lvlText w:val=""/>
      <w:lvlJc w:val="left"/>
    </w:lvl>
  </w:abstractNum>
  <w:num w:numId="1" w16cid:durableId="1472747989">
    <w:abstractNumId w:val="3"/>
    <w:lvlOverride w:ilvl="0">
      <w:startOverride w:val="1"/>
    </w:lvlOverride>
  </w:num>
  <w:num w:numId="2" w16cid:durableId="197932685">
    <w:abstractNumId w:val="5"/>
    <w:lvlOverride w:ilvl="0">
      <w:startOverride w:val="1"/>
    </w:lvlOverride>
  </w:num>
  <w:num w:numId="3" w16cid:durableId="758254462">
    <w:abstractNumId w:val="2"/>
    <w:lvlOverride w:ilvl="0">
      <w:startOverride w:val="1"/>
    </w:lvlOverride>
  </w:num>
  <w:num w:numId="4" w16cid:durableId="624507334">
    <w:abstractNumId w:val="6"/>
    <w:lvlOverride w:ilvl="0">
      <w:startOverride w:val="1"/>
    </w:lvlOverride>
  </w:num>
  <w:num w:numId="5" w16cid:durableId="1079716947">
    <w:abstractNumId w:val="0"/>
    <w:lvlOverride w:ilvl="0">
      <w:startOverride w:val="1"/>
    </w:lvlOverride>
  </w:num>
  <w:num w:numId="6" w16cid:durableId="71393775">
    <w:abstractNumId w:val="4"/>
    <w:lvlOverride w:ilvl="0">
      <w:startOverride w:val="1"/>
    </w:lvlOverride>
  </w:num>
  <w:num w:numId="7" w16cid:durableId="7343286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9"/>
  <w:displayBackgroundShape/>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A5"/>
    <w:rsid w:val="00064D22"/>
    <w:rsid w:val="001D5305"/>
    <w:rsid w:val="002B6AA5"/>
    <w:rsid w:val="002C33F2"/>
    <w:rsid w:val="002E7223"/>
    <w:rsid w:val="0032655B"/>
    <w:rsid w:val="003E024E"/>
    <w:rsid w:val="00474BB0"/>
    <w:rsid w:val="004F4959"/>
    <w:rsid w:val="005960E2"/>
    <w:rsid w:val="00686FA7"/>
    <w:rsid w:val="007225A5"/>
    <w:rsid w:val="00763ECD"/>
    <w:rsid w:val="007F5C09"/>
    <w:rsid w:val="008A700E"/>
    <w:rsid w:val="00922807"/>
    <w:rsid w:val="009242BA"/>
    <w:rsid w:val="009C3CE7"/>
    <w:rsid w:val="00AE2CBB"/>
    <w:rsid w:val="00BB41CB"/>
    <w:rsid w:val="00D5357A"/>
    <w:rsid w:val="00D55BC6"/>
    <w:rsid w:val="00E124F3"/>
    <w:rsid w:val="00F747BC"/>
    <w:rsid w:val="00FF00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D5F7"/>
  <w15:docId w15:val="{AE0649B0-6F5E-D14C-B800-24698CE6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00D1"/>
  </w:style>
  <w:style w:type="paragraph" w:styleId="berschrift1">
    <w:name w:val="heading 1"/>
    <w:uiPriority w:val="9"/>
    <w:qFormat/>
    <w:pPr>
      <w:spacing w:before="360" w:after="160"/>
      <w:outlineLvl w:val="0"/>
    </w:pPr>
    <w:rPr>
      <w:b/>
      <w:bCs/>
      <w:color w:val="1E1A4B"/>
      <w:sz w:val="32"/>
      <w:szCs w:val="32"/>
    </w:rPr>
  </w:style>
  <w:style w:type="paragraph" w:styleId="berschrift2">
    <w:name w:val="heading 2"/>
    <w:uiPriority w:val="9"/>
    <w:unhideWhenUsed/>
    <w:qFormat/>
    <w:pPr>
      <w:spacing w:before="240" w:after="120"/>
      <w:outlineLvl w:val="1"/>
    </w:pPr>
    <w:rPr>
      <w:b/>
      <w:bCs/>
      <w:color w:val="1E1A4B"/>
      <w:sz w:val="26"/>
      <w:szCs w:val="26"/>
    </w:rPr>
  </w:style>
  <w:style w:type="paragraph" w:styleId="berschrift3">
    <w:name w:val="heading 3"/>
    <w:uiPriority w:val="9"/>
    <w:unhideWhenUsed/>
    <w:qFormat/>
    <w:rsid w:val="00763ECD"/>
    <w:pPr>
      <w:spacing w:after="240"/>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paragraph" w:customStyle="1" w:styleId="Style">
    <w:name w:val="Style"/>
    <w:rsid w:val="00FF00D1"/>
    <w:pPr>
      <w:widowControl w:val="0"/>
      <w:autoSpaceDE w:val="0"/>
      <w:autoSpaceDN w:val="0"/>
      <w:adjustRightInd w:val="0"/>
    </w:pPr>
    <w:rPr>
      <w:rFonts w:ascii="Times New Roman" w:eastAsiaTheme="minorEastAsia" w:hAnsi="Times New Roman" w:cs="Times New Roman"/>
      <w:sz w:val="24"/>
      <w:szCs w:val="24"/>
      <w:lang w:val="en-US" w:eastAsia="zh-CN"/>
    </w:rPr>
  </w:style>
  <w:style w:type="paragraph" w:styleId="Kopfzeile">
    <w:name w:val="header"/>
    <w:basedOn w:val="Standard"/>
    <w:link w:val="KopfzeileZchn"/>
    <w:uiPriority w:val="99"/>
    <w:unhideWhenUsed/>
    <w:rsid w:val="00FF00D1"/>
    <w:pPr>
      <w:tabs>
        <w:tab w:val="center" w:pos="4536"/>
        <w:tab w:val="right" w:pos="9072"/>
      </w:tabs>
    </w:pPr>
  </w:style>
  <w:style w:type="character" w:customStyle="1" w:styleId="KopfzeileZchn">
    <w:name w:val="Kopfzeile Zchn"/>
    <w:basedOn w:val="Absatz-Standardschriftart"/>
    <w:link w:val="Kopfzeile"/>
    <w:uiPriority w:val="99"/>
    <w:rsid w:val="00FF00D1"/>
  </w:style>
  <w:style w:type="paragraph" w:styleId="Fuzeile">
    <w:name w:val="footer"/>
    <w:basedOn w:val="Standard"/>
    <w:link w:val="FuzeileZchn"/>
    <w:uiPriority w:val="99"/>
    <w:unhideWhenUsed/>
    <w:rsid w:val="00FF00D1"/>
    <w:pPr>
      <w:tabs>
        <w:tab w:val="center" w:pos="4536"/>
        <w:tab w:val="right" w:pos="9072"/>
      </w:tabs>
    </w:pPr>
  </w:style>
  <w:style w:type="character" w:customStyle="1" w:styleId="FuzeileZchn">
    <w:name w:val="Fußzeile Zchn"/>
    <w:basedOn w:val="Absatz-Standardschriftart"/>
    <w:link w:val="Fuzeile"/>
    <w:uiPriority w:val="99"/>
    <w:rsid w:val="00FF00D1"/>
  </w:style>
  <w:style w:type="character" w:styleId="BesuchterLink">
    <w:name w:val="FollowedHyperlink"/>
    <w:basedOn w:val="Absatz-Standardschriftart"/>
    <w:uiPriority w:val="99"/>
    <w:semiHidden/>
    <w:unhideWhenUsed/>
    <w:rsid w:val="00763E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wa.lupmis4luspa.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pmis.ammonvict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wa.lupmis4luspa.org" TargetMode="External"/><Relationship Id="rId4" Type="http://schemas.openxmlformats.org/officeDocument/2006/relationships/webSettings" Target="webSettings.xml"/><Relationship Id="rId9" Type="http://schemas.openxmlformats.org/officeDocument/2006/relationships/hyperlink" Target="https://lupmis.ammonvictor.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9419</Words>
  <Characters>61321</Characters>
  <Application>Microsoft Office Word</Application>
  <DocSecurity>0</DocSecurity>
  <Lines>1657</Lines>
  <Paragraphs>1645</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1. Executive Summary</vt:lpstr>
      <vt:lpstr>2. Project Background</vt:lpstr>
      <vt:lpstr>3. Current Development Status</vt:lpstr>
      <vt:lpstr>4. Comparison with Functional Specifications</vt:lpstr>
      <vt:lpstr>5. Design &amp; Brand Compliance</vt:lpstr>
      <vt:lpstr>6. Stakeholder Engagement Summary</vt:lpstr>
      <vt:lpstr>    Key Findings</vt:lpstr>
      <vt:lpstr>    Integration Priorities</vt:lpstr>
      <vt:lpstr>7. Pilot District Workshop Feedback</vt:lpstr>
      <vt:lpstr>    Public Portal</vt:lpstr>
      <vt:lpstr>    District Backend</vt:lpstr>
      <vt:lpstr>    Drawing and Measurement Tools</vt:lpstr>
      <vt:lpstr>    Parcel Generator</vt:lpstr>
      <vt:lpstr>8. Technical Architecture Overview</vt:lpstr>
      <vt:lpstr>9. Deployment &amp; Access</vt:lpstr>
      <vt:lpstr>10. Upcoming Work &amp; Recommendations</vt:lpstr>
      <vt:lpstr>11. Conclusion</vt:lpstr>
    </vt:vector>
  </TitlesOfParts>
  <Company/>
  <LinksUpToDate>false</LinksUpToDate>
  <CharactersWithSpaces>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Ekkehardt Roth</cp:lastModifiedBy>
  <cp:revision>12</cp:revision>
  <dcterms:created xsi:type="dcterms:W3CDTF">2026-04-28T08:03:00Z</dcterms:created>
  <dcterms:modified xsi:type="dcterms:W3CDTF">2026-06-29T14:10:00Z</dcterms:modified>
</cp:coreProperties>
</file>